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0"/>
        <w:spacing w:before="1200"/>
        <w:rPr>
          <w:color w:val="auto"/>
          <w:highlight w:val="none"/>
        </w:rPr>
      </w:pPr>
    </w:p>
    <w:p>
      <w:pPr>
        <w:pStyle w:val="150"/>
        <w:spacing w:before="1200"/>
        <w:rPr>
          <w:color w:val="auto"/>
          <w:sz w:val="36"/>
          <w:szCs w:val="36"/>
          <w:highlight w:val="none"/>
        </w:rPr>
      </w:pPr>
      <w:r>
        <w:rPr>
          <w:rFonts w:hint="eastAsia"/>
          <w:color w:val="auto"/>
          <w:sz w:val="36"/>
          <w:szCs w:val="36"/>
          <w:highlight w:val="none"/>
        </w:rPr>
        <w:t>中国劳动关系学院北京地下三层篮球馆改造工程采购项目</w:t>
      </w:r>
    </w:p>
    <w:p>
      <w:pPr>
        <w:pStyle w:val="150"/>
        <w:spacing w:before="1200"/>
        <w:rPr>
          <w:color w:val="auto"/>
          <w:sz w:val="36"/>
          <w:szCs w:val="36"/>
          <w:highlight w:val="none"/>
        </w:rPr>
      </w:pPr>
    </w:p>
    <w:p>
      <w:pPr>
        <w:pStyle w:val="150"/>
        <w:spacing w:before="1200"/>
        <w:rPr>
          <w:color w:val="auto"/>
          <w:spacing w:val="120"/>
          <w:highlight w:val="none"/>
        </w:rPr>
      </w:pPr>
      <w:r>
        <w:rPr>
          <w:rFonts w:hint="eastAsia"/>
          <w:color w:val="auto"/>
          <w:highlight w:val="none"/>
        </w:rPr>
        <w:t>校内磋商</w:t>
      </w:r>
      <w:r>
        <w:rPr>
          <w:color w:val="auto"/>
          <w:highlight w:val="none"/>
        </w:rPr>
        <w:t>采购文件</w:t>
      </w:r>
    </w:p>
    <w:p>
      <w:pPr>
        <w:pStyle w:val="151"/>
        <w:ind w:firstLine="1280" w:firstLineChars="400"/>
        <w:rPr>
          <w:color w:val="auto"/>
          <w:highlight w:val="none"/>
        </w:rPr>
      </w:pPr>
    </w:p>
    <w:p>
      <w:pPr>
        <w:pStyle w:val="151"/>
        <w:ind w:firstLine="1280" w:firstLineChars="400"/>
        <w:rPr>
          <w:color w:val="auto"/>
          <w:highlight w:val="none"/>
        </w:rPr>
      </w:pPr>
    </w:p>
    <w:p>
      <w:pPr>
        <w:pStyle w:val="151"/>
        <w:ind w:firstLine="1280" w:firstLineChars="400"/>
        <w:rPr>
          <w:color w:val="auto"/>
          <w:highlight w:val="none"/>
        </w:rPr>
      </w:pPr>
    </w:p>
    <w:p>
      <w:pPr>
        <w:pStyle w:val="151"/>
        <w:ind w:firstLine="1280" w:firstLineChars="400"/>
        <w:rPr>
          <w:color w:val="auto"/>
          <w:highlight w:val="none"/>
        </w:rPr>
      </w:pPr>
    </w:p>
    <w:p>
      <w:pPr>
        <w:pStyle w:val="151"/>
        <w:ind w:firstLine="1280" w:firstLineChars="400"/>
        <w:rPr>
          <w:color w:val="auto"/>
          <w:highlight w:val="none"/>
        </w:rPr>
      </w:pPr>
    </w:p>
    <w:p>
      <w:pPr>
        <w:pStyle w:val="151"/>
        <w:ind w:firstLine="1280" w:firstLineChars="400"/>
        <w:rPr>
          <w:color w:val="auto"/>
          <w:highlight w:val="none"/>
        </w:rPr>
      </w:pPr>
      <w:r>
        <w:rPr>
          <w:color w:val="auto"/>
          <w:highlight w:val="none"/>
        </w:rPr>
        <w:t>采 购 人：</w:t>
      </w:r>
      <w:r>
        <w:rPr>
          <w:rFonts w:hint="eastAsia"/>
          <w:color w:val="auto"/>
          <w:highlight w:val="none"/>
        </w:rPr>
        <w:t>中国劳动关系学院</w:t>
      </w:r>
    </w:p>
    <w:p>
      <w:pPr>
        <w:rPr>
          <w:color w:val="auto"/>
          <w:highlight w:val="none"/>
        </w:rPr>
      </w:pPr>
    </w:p>
    <w:p>
      <w:pPr>
        <w:rPr>
          <w:color w:val="auto"/>
          <w:highlight w:val="none"/>
        </w:rPr>
      </w:pPr>
    </w:p>
    <w:p>
      <w:pPr>
        <w:pStyle w:val="151"/>
        <w:ind w:firstLine="0" w:firstLineChars="0"/>
        <w:jc w:val="center"/>
        <w:rPr>
          <w:rFonts w:ascii="Times New Roman" w:hAnsi="Times New Roman"/>
          <w:color w:val="auto"/>
          <w:szCs w:val="24"/>
          <w:highlight w:val="none"/>
        </w:rPr>
      </w:pPr>
      <w:bookmarkStart w:id="0" w:name="_Toc86202580"/>
      <w:bookmarkStart w:id="1" w:name="_Toc241827233"/>
      <w:bookmarkStart w:id="2" w:name="_Toc241827234"/>
      <w:r>
        <w:rPr>
          <w:rFonts w:ascii="Times New Roman"/>
          <w:color w:val="auto"/>
          <w:highlight w:val="none"/>
        </w:rPr>
        <w:t>目录</w:t>
      </w:r>
    </w:p>
    <w:p>
      <w:pPr>
        <w:pStyle w:val="32"/>
        <w:tabs>
          <w:tab w:val="right" w:leader="dot" w:pos="8890"/>
        </w:tabs>
        <w:spacing w:before="120" w:after="120"/>
        <w:ind w:firstLine="440"/>
        <w:rPr>
          <w:rFonts w:asciiTheme="minorHAnsi" w:hAnsiTheme="minorHAnsi" w:eastAsiaTheme="minorEastAsia" w:cstheme="minorBidi"/>
          <w:b w:val="0"/>
          <w:bCs w:val="0"/>
          <w:caps w:val="0"/>
          <w:color w:val="auto"/>
          <w:kern w:val="2"/>
          <w:sz w:val="21"/>
          <w:szCs w:val="22"/>
          <w:highlight w:val="none"/>
        </w:rPr>
      </w:pPr>
      <w:r>
        <w:rPr>
          <w:rStyle w:val="54"/>
          <w:b w:val="0"/>
          <w:color w:val="auto"/>
          <w:sz w:val="22"/>
          <w:szCs w:val="22"/>
          <w:highlight w:val="none"/>
        </w:rPr>
        <w:fldChar w:fldCharType="begin"/>
      </w:r>
      <w:r>
        <w:rPr>
          <w:rStyle w:val="54"/>
          <w:b w:val="0"/>
          <w:color w:val="auto"/>
          <w:sz w:val="22"/>
          <w:szCs w:val="22"/>
          <w:highlight w:val="none"/>
        </w:rPr>
        <w:instrText xml:space="preserve"> TOC \o "1-3" \h \z \u </w:instrText>
      </w:r>
      <w:r>
        <w:rPr>
          <w:rStyle w:val="54"/>
          <w:b w:val="0"/>
          <w:color w:val="auto"/>
          <w:sz w:val="22"/>
          <w:szCs w:val="22"/>
          <w:highlight w:val="none"/>
        </w:rPr>
        <w:fldChar w:fldCharType="separate"/>
      </w:r>
      <w:r>
        <w:rPr>
          <w:color w:val="auto"/>
          <w:highlight w:val="none"/>
        </w:rPr>
        <w:fldChar w:fldCharType="begin"/>
      </w:r>
      <w:r>
        <w:rPr>
          <w:color w:val="auto"/>
          <w:highlight w:val="none"/>
        </w:rPr>
        <w:instrText xml:space="preserve"> HYPERLINK \l "_Toc518557351" </w:instrText>
      </w:r>
      <w:r>
        <w:rPr>
          <w:color w:val="auto"/>
          <w:highlight w:val="none"/>
        </w:rPr>
        <w:fldChar w:fldCharType="separate"/>
      </w:r>
      <w:r>
        <w:rPr>
          <w:rStyle w:val="54"/>
          <w:rFonts w:hint="eastAsia"/>
          <w:color w:val="auto"/>
          <w:highlight w:val="none"/>
        </w:rPr>
        <w:t>第一部分采购邀请</w:t>
      </w:r>
      <w:r>
        <w:rPr>
          <w:color w:val="auto"/>
          <w:highlight w:val="none"/>
        </w:rPr>
        <w:tab/>
      </w:r>
      <w:r>
        <w:rPr>
          <w:color w:val="auto"/>
          <w:highlight w:val="none"/>
        </w:rPr>
        <w:fldChar w:fldCharType="begin"/>
      </w:r>
      <w:r>
        <w:rPr>
          <w:color w:val="auto"/>
          <w:highlight w:val="none"/>
        </w:rPr>
        <w:instrText xml:space="preserve"> PAGEREF _Toc518557351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HYPERLINK \l "_Toc518557352"</w:instrText>
      </w:r>
      <w:r>
        <w:rPr>
          <w:color w:val="auto"/>
          <w:highlight w:val="none"/>
        </w:rPr>
        <w:fldChar w:fldCharType="separate"/>
      </w:r>
      <w:r>
        <w:rPr>
          <w:rStyle w:val="54"/>
          <w:rFonts w:hint="eastAsia"/>
          <w:color w:val="auto"/>
          <w:highlight w:val="none"/>
        </w:rPr>
        <w:t>第二部分供应商须知</w:t>
      </w:r>
      <w:r>
        <w:rPr>
          <w:color w:val="auto"/>
          <w:highlight w:val="none"/>
        </w:rPr>
        <w:tab/>
      </w:r>
      <w:r>
        <w:rPr>
          <w:color w:val="auto"/>
          <w:highlight w:val="none"/>
        </w:rPr>
        <w:fldChar w:fldCharType="begin"/>
      </w:r>
      <w:r>
        <w:rPr>
          <w:color w:val="auto"/>
          <w:highlight w:val="none"/>
        </w:rPr>
        <w:instrText xml:space="preserve"> PAGEREF _Toc518557352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"_Toc518557353" </w:instrText>
      </w:r>
      <w:r>
        <w:rPr>
          <w:color w:val="auto"/>
          <w:highlight w:val="none"/>
        </w:rPr>
        <w:fldChar w:fldCharType="separate"/>
      </w:r>
      <w:r>
        <w:rPr>
          <w:rStyle w:val="54"/>
          <w:rFonts w:hint="eastAsia"/>
          <w:color w:val="auto"/>
          <w:highlight w:val="none"/>
        </w:rPr>
        <w:t>第三部分合同主要条款及格式</w:t>
      </w:r>
      <w:r>
        <w:rPr>
          <w:color w:val="auto"/>
          <w:highlight w:val="none"/>
        </w:rPr>
        <w:tab/>
      </w:r>
      <w:r>
        <w:rPr>
          <w:color w:val="auto"/>
          <w:highlight w:val="none"/>
        </w:rPr>
        <w:fldChar w:fldCharType="begin"/>
      </w:r>
      <w:r>
        <w:rPr>
          <w:color w:val="auto"/>
          <w:highlight w:val="none"/>
        </w:rPr>
        <w:instrText xml:space="preserve"> PAGEREF _Toc518557353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"_Toc518557365" </w:instrText>
      </w:r>
      <w:r>
        <w:rPr>
          <w:color w:val="auto"/>
          <w:highlight w:val="none"/>
        </w:rPr>
        <w:fldChar w:fldCharType="separate"/>
      </w:r>
      <w:r>
        <w:rPr>
          <w:rStyle w:val="54"/>
          <w:rFonts w:hint="eastAsia"/>
          <w:color w:val="auto"/>
          <w:highlight w:val="none"/>
        </w:rPr>
        <w:t>第四部分技术需求书</w:t>
      </w:r>
      <w:r>
        <w:rPr>
          <w:color w:val="auto"/>
          <w:highlight w:val="none"/>
        </w:rPr>
        <w:tab/>
      </w:r>
      <w:r>
        <w:rPr>
          <w:color w:val="auto"/>
          <w:highlight w:val="none"/>
        </w:rPr>
        <w:fldChar w:fldCharType="begin"/>
      </w:r>
      <w:r>
        <w:rPr>
          <w:color w:val="auto"/>
          <w:highlight w:val="none"/>
        </w:rPr>
        <w:instrText xml:space="preserve"> PAGEREF _Toc518557365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"_Toc518557366" </w:instrText>
      </w:r>
      <w:r>
        <w:rPr>
          <w:color w:val="auto"/>
          <w:highlight w:val="none"/>
        </w:rPr>
        <w:fldChar w:fldCharType="separate"/>
      </w:r>
      <w:r>
        <w:rPr>
          <w:rStyle w:val="54"/>
          <w:rFonts w:hint="eastAsia" w:asciiTheme="minorEastAsia" w:hAnsiTheme="minorEastAsia"/>
          <w:color w:val="auto"/>
          <w:highlight w:val="none"/>
        </w:rPr>
        <w:t>技术需求书</w:t>
      </w:r>
      <w:r>
        <w:rPr>
          <w:color w:val="auto"/>
          <w:highlight w:val="none"/>
        </w:rPr>
        <w:tab/>
      </w:r>
      <w:r>
        <w:rPr>
          <w:color w:val="auto"/>
          <w:highlight w:val="none"/>
        </w:rPr>
        <w:fldChar w:fldCharType="begin"/>
      </w:r>
      <w:r>
        <w:rPr>
          <w:color w:val="auto"/>
          <w:highlight w:val="none"/>
        </w:rPr>
        <w:instrText xml:space="preserve"> PAGEREF _Toc518557366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 HYPERLINK \l "_Toc518557367" </w:instrText>
      </w:r>
      <w:r>
        <w:rPr>
          <w:color w:val="auto"/>
          <w:highlight w:val="none"/>
        </w:rPr>
        <w:fldChar w:fldCharType="separate"/>
      </w:r>
      <w:r>
        <w:rPr>
          <w:rStyle w:val="54"/>
          <w:rFonts w:hint="eastAsia"/>
          <w:color w:val="auto"/>
          <w:highlight w:val="none"/>
        </w:rPr>
        <w:t>第五部分评审办法</w:t>
      </w:r>
      <w:r>
        <w:rPr>
          <w:color w:val="auto"/>
          <w:highlight w:val="none"/>
        </w:rPr>
        <w:tab/>
      </w:r>
      <w:r>
        <w:rPr>
          <w:color w:val="auto"/>
          <w:highlight w:val="none"/>
        </w:rPr>
        <w:fldChar w:fldCharType="begin"/>
      </w:r>
      <w:r>
        <w:rPr>
          <w:color w:val="auto"/>
          <w:highlight w:val="none"/>
        </w:rPr>
        <w:instrText xml:space="preserve"> PAGEREF _Toc518557367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pPr>
        <w:pStyle w:val="32"/>
        <w:tabs>
          <w:tab w:val="right" w:leader="dot" w:pos="8890"/>
        </w:tabs>
        <w:spacing w:before="120" w:after="120"/>
        <w:ind w:firstLine="482"/>
        <w:rPr>
          <w:rFonts w:asciiTheme="minorHAnsi" w:hAnsiTheme="minorHAnsi" w:eastAsiaTheme="minorEastAsia" w:cstheme="minorBidi"/>
          <w:b w:val="0"/>
          <w:bCs w:val="0"/>
          <w:caps w:val="0"/>
          <w:color w:val="auto"/>
          <w:kern w:val="2"/>
          <w:sz w:val="21"/>
          <w:szCs w:val="22"/>
          <w:highlight w:val="none"/>
        </w:rPr>
      </w:pPr>
      <w:r>
        <w:rPr>
          <w:color w:val="auto"/>
          <w:highlight w:val="none"/>
        </w:rPr>
        <w:fldChar w:fldCharType="begin"/>
      </w:r>
      <w:r>
        <w:rPr>
          <w:color w:val="auto"/>
          <w:highlight w:val="none"/>
        </w:rPr>
        <w:instrText xml:space="preserve">HYPERLINK \l "_Toc518557368"</w:instrText>
      </w:r>
      <w:r>
        <w:rPr>
          <w:color w:val="auto"/>
          <w:highlight w:val="none"/>
        </w:rPr>
        <w:fldChar w:fldCharType="separate"/>
      </w:r>
      <w:r>
        <w:rPr>
          <w:rStyle w:val="54"/>
          <w:rFonts w:hint="eastAsia"/>
          <w:color w:val="auto"/>
          <w:highlight w:val="none"/>
        </w:rPr>
        <w:t>第六部分响应文件格式</w:t>
      </w:r>
      <w:r>
        <w:rPr>
          <w:color w:val="auto"/>
          <w:highlight w:val="none"/>
        </w:rPr>
        <w:tab/>
      </w:r>
      <w:r>
        <w:rPr>
          <w:color w:val="auto"/>
          <w:highlight w:val="none"/>
        </w:rPr>
        <w:fldChar w:fldCharType="begin"/>
      </w:r>
      <w:r>
        <w:rPr>
          <w:color w:val="auto"/>
          <w:highlight w:val="none"/>
        </w:rPr>
        <w:instrText xml:space="preserve"> PAGEREF _Toc518557368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"_Toc518557369"</w:instrText>
      </w:r>
      <w:r>
        <w:rPr>
          <w:color w:val="auto"/>
          <w:highlight w:val="none"/>
        </w:rPr>
        <w:fldChar w:fldCharType="separate"/>
      </w:r>
      <w:r>
        <w:rPr>
          <w:rStyle w:val="54"/>
          <w:rFonts w:hint="eastAsia"/>
          <w:color w:val="auto"/>
          <w:highlight w:val="none"/>
        </w:rPr>
        <w:t>附件</w:t>
      </w:r>
      <w:r>
        <w:rPr>
          <w:rStyle w:val="54"/>
          <w:color w:val="auto"/>
          <w:highlight w:val="none"/>
        </w:rPr>
        <w:t xml:space="preserve">1 </w:t>
      </w:r>
      <w:r>
        <w:rPr>
          <w:rStyle w:val="54"/>
          <w:rFonts w:hint="eastAsia"/>
          <w:color w:val="auto"/>
          <w:highlight w:val="none"/>
        </w:rPr>
        <w:t>响应函</w:t>
      </w:r>
      <w:r>
        <w:rPr>
          <w:color w:val="auto"/>
          <w:highlight w:val="none"/>
        </w:rPr>
        <w:tab/>
      </w:r>
      <w:r>
        <w:rPr>
          <w:color w:val="auto"/>
          <w:highlight w:val="none"/>
        </w:rPr>
        <w:fldChar w:fldCharType="begin"/>
      </w:r>
      <w:r>
        <w:rPr>
          <w:color w:val="auto"/>
          <w:highlight w:val="none"/>
        </w:rPr>
        <w:instrText xml:space="preserve"> PAGEREF _Toc518557369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"_Toc518557370"</w:instrText>
      </w:r>
      <w:r>
        <w:rPr>
          <w:color w:val="auto"/>
          <w:highlight w:val="none"/>
        </w:rPr>
        <w:fldChar w:fldCharType="separate"/>
      </w:r>
      <w:r>
        <w:rPr>
          <w:rStyle w:val="54"/>
          <w:rFonts w:hint="eastAsia"/>
          <w:color w:val="auto"/>
          <w:highlight w:val="none"/>
        </w:rPr>
        <w:t>附件</w:t>
      </w:r>
      <w:r>
        <w:rPr>
          <w:rStyle w:val="54"/>
          <w:color w:val="auto"/>
          <w:highlight w:val="none"/>
        </w:rPr>
        <w:t xml:space="preserve">2 </w:t>
      </w:r>
      <w:r>
        <w:rPr>
          <w:rStyle w:val="54"/>
          <w:rFonts w:hint="eastAsia"/>
          <w:color w:val="auto"/>
          <w:highlight w:val="none"/>
        </w:rPr>
        <w:t>响应报价一览表</w:t>
      </w:r>
      <w:r>
        <w:rPr>
          <w:color w:val="auto"/>
          <w:highlight w:val="none"/>
        </w:rPr>
        <w:tab/>
      </w:r>
      <w:r>
        <w:rPr>
          <w:color w:val="auto"/>
          <w:highlight w:val="none"/>
        </w:rPr>
        <w:fldChar w:fldCharType="begin"/>
      </w:r>
      <w:r>
        <w:rPr>
          <w:color w:val="auto"/>
          <w:highlight w:val="none"/>
        </w:rPr>
        <w:instrText xml:space="preserve"> PAGEREF _Toc518557370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"_Toc518557371"</w:instrText>
      </w:r>
      <w:r>
        <w:rPr>
          <w:color w:val="auto"/>
          <w:highlight w:val="none"/>
        </w:rPr>
        <w:fldChar w:fldCharType="separate"/>
      </w:r>
      <w:r>
        <w:rPr>
          <w:rStyle w:val="54"/>
          <w:rFonts w:hint="eastAsia"/>
          <w:color w:val="auto"/>
          <w:highlight w:val="none"/>
        </w:rPr>
        <w:t>附件</w:t>
      </w:r>
      <w:r>
        <w:rPr>
          <w:rStyle w:val="54"/>
          <w:color w:val="auto"/>
          <w:highlight w:val="none"/>
        </w:rPr>
        <w:t>3</w:t>
      </w:r>
      <w:r>
        <w:rPr>
          <w:rStyle w:val="54"/>
          <w:rFonts w:hint="eastAsia"/>
          <w:color w:val="auto"/>
          <w:highlight w:val="none"/>
        </w:rPr>
        <w:t>分项报价表</w:t>
      </w:r>
      <w:r>
        <w:rPr>
          <w:color w:val="auto"/>
          <w:highlight w:val="none"/>
        </w:rPr>
        <w:tab/>
      </w:r>
      <w:r>
        <w:rPr>
          <w:color w:val="auto"/>
          <w:highlight w:val="none"/>
        </w:rPr>
        <w:fldChar w:fldCharType="begin"/>
      </w:r>
      <w:r>
        <w:rPr>
          <w:color w:val="auto"/>
          <w:highlight w:val="none"/>
        </w:rPr>
        <w:instrText xml:space="preserve"> PAGEREF _Toc518557371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"_Toc518557372"</w:instrText>
      </w:r>
      <w:r>
        <w:rPr>
          <w:color w:val="auto"/>
          <w:highlight w:val="none"/>
        </w:rPr>
        <w:fldChar w:fldCharType="separate"/>
      </w:r>
      <w:r>
        <w:rPr>
          <w:rStyle w:val="54"/>
          <w:rFonts w:hint="eastAsia"/>
          <w:color w:val="auto"/>
          <w:highlight w:val="none"/>
        </w:rPr>
        <w:t>附件</w:t>
      </w:r>
      <w:r>
        <w:rPr>
          <w:rStyle w:val="54"/>
          <w:color w:val="auto"/>
          <w:highlight w:val="none"/>
        </w:rPr>
        <w:t xml:space="preserve">4 </w:t>
      </w:r>
      <w:r>
        <w:rPr>
          <w:rStyle w:val="54"/>
          <w:rFonts w:hint="eastAsia"/>
          <w:color w:val="auto"/>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_Toc518557372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"_Toc518557373"</w:instrText>
      </w:r>
      <w:r>
        <w:rPr>
          <w:color w:val="auto"/>
          <w:highlight w:val="none"/>
        </w:rPr>
        <w:fldChar w:fldCharType="separate"/>
      </w:r>
      <w:r>
        <w:rPr>
          <w:rStyle w:val="54"/>
          <w:rFonts w:hint="eastAsia"/>
          <w:color w:val="auto"/>
          <w:highlight w:val="none"/>
        </w:rPr>
        <w:t>附件</w:t>
      </w:r>
      <w:r>
        <w:rPr>
          <w:rStyle w:val="54"/>
          <w:color w:val="auto"/>
          <w:highlight w:val="none"/>
        </w:rPr>
        <w:t>5</w:t>
      </w:r>
      <w:r>
        <w:rPr>
          <w:rStyle w:val="54"/>
          <w:rFonts w:hint="eastAsia"/>
          <w:color w:val="auto"/>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_Toc518557373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"_Toc518557374"</w:instrText>
      </w:r>
      <w:r>
        <w:rPr>
          <w:color w:val="auto"/>
          <w:highlight w:val="none"/>
        </w:rPr>
        <w:fldChar w:fldCharType="separate"/>
      </w:r>
      <w:r>
        <w:rPr>
          <w:rStyle w:val="54"/>
          <w:rFonts w:hint="eastAsia"/>
          <w:color w:val="auto"/>
          <w:highlight w:val="none"/>
        </w:rPr>
        <w:t>附件</w:t>
      </w:r>
      <w:r>
        <w:rPr>
          <w:rStyle w:val="54"/>
          <w:color w:val="auto"/>
          <w:highlight w:val="none"/>
        </w:rPr>
        <w:t xml:space="preserve">6 </w:t>
      </w:r>
      <w:r>
        <w:rPr>
          <w:rStyle w:val="54"/>
          <w:rFonts w:hint="eastAsia"/>
          <w:color w:val="auto"/>
          <w:highlight w:val="none"/>
        </w:rPr>
        <w:t>供应商类似项目业绩清单</w:t>
      </w:r>
      <w:r>
        <w:rPr>
          <w:color w:val="auto"/>
          <w:highlight w:val="none"/>
        </w:rPr>
        <w:tab/>
      </w:r>
      <w:r>
        <w:rPr>
          <w:color w:val="auto"/>
          <w:highlight w:val="none"/>
        </w:rPr>
        <w:fldChar w:fldCharType="begin"/>
      </w:r>
      <w:r>
        <w:rPr>
          <w:color w:val="auto"/>
          <w:highlight w:val="none"/>
        </w:rPr>
        <w:instrText xml:space="preserve"> PAGEREF _Toc518557374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"_Toc518557375"</w:instrText>
      </w:r>
      <w:r>
        <w:rPr>
          <w:color w:val="auto"/>
          <w:highlight w:val="none"/>
        </w:rPr>
        <w:fldChar w:fldCharType="separate"/>
      </w:r>
      <w:r>
        <w:rPr>
          <w:rStyle w:val="54"/>
          <w:rFonts w:hint="eastAsia"/>
          <w:color w:val="auto"/>
          <w:highlight w:val="none"/>
        </w:rPr>
        <w:t>附件</w:t>
      </w:r>
      <w:r>
        <w:rPr>
          <w:rStyle w:val="54"/>
          <w:color w:val="auto"/>
          <w:highlight w:val="none"/>
        </w:rPr>
        <w:t xml:space="preserve">7 </w:t>
      </w:r>
      <w:r>
        <w:rPr>
          <w:rStyle w:val="54"/>
          <w:rFonts w:hint="eastAsia"/>
          <w:color w:val="auto"/>
          <w:highlight w:val="none"/>
        </w:rPr>
        <w:t>技术及服务方案</w:t>
      </w:r>
      <w:r>
        <w:rPr>
          <w:color w:val="auto"/>
          <w:highlight w:val="none"/>
        </w:rPr>
        <w:tab/>
      </w:r>
      <w:r>
        <w:rPr>
          <w:color w:val="auto"/>
          <w:highlight w:val="none"/>
        </w:rPr>
        <w:fldChar w:fldCharType="begin"/>
      </w:r>
      <w:r>
        <w:rPr>
          <w:color w:val="auto"/>
          <w:highlight w:val="none"/>
        </w:rPr>
        <w:instrText xml:space="preserve"> PAGEREF _Toc518557375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"_Toc518557376"</w:instrText>
      </w:r>
      <w:r>
        <w:rPr>
          <w:color w:val="auto"/>
          <w:highlight w:val="none"/>
        </w:rPr>
        <w:fldChar w:fldCharType="separate"/>
      </w:r>
      <w:r>
        <w:rPr>
          <w:rStyle w:val="54"/>
          <w:rFonts w:hint="eastAsia"/>
          <w:color w:val="auto"/>
          <w:highlight w:val="none"/>
        </w:rPr>
        <w:t>附件</w:t>
      </w:r>
      <w:r>
        <w:rPr>
          <w:rStyle w:val="54"/>
          <w:color w:val="auto"/>
          <w:highlight w:val="none"/>
        </w:rPr>
        <w:t>7-1</w:t>
      </w:r>
      <w:r>
        <w:rPr>
          <w:rStyle w:val="54"/>
          <w:rFonts w:hint="eastAsia"/>
          <w:color w:val="auto"/>
          <w:highlight w:val="none"/>
        </w:rPr>
        <w:t>项目管理组织机构</w:t>
      </w:r>
      <w:r>
        <w:rPr>
          <w:color w:val="auto"/>
          <w:highlight w:val="none"/>
        </w:rPr>
        <w:tab/>
      </w:r>
      <w:r>
        <w:rPr>
          <w:color w:val="auto"/>
          <w:highlight w:val="none"/>
        </w:rPr>
        <w:fldChar w:fldCharType="begin"/>
      </w:r>
      <w:r>
        <w:rPr>
          <w:color w:val="auto"/>
          <w:highlight w:val="none"/>
        </w:rPr>
        <w:instrText xml:space="preserve"> PAGEREF _Toc518557376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"_Toc518557377"</w:instrText>
      </w:r>
      <w:r>
        <w:rPr>
          <w:color w:val="auto"/>
          <w:highlight w:val="none"/>
        </w:rPr>
        <w:fldChar w:fldCharType="separate"/>
      </w:r>
      <w:r>
        <w:rPr>
          <w:rStyle w:val="54"/>
          <w:rFonts w:hint="eastAsia"/>
          <w:color w:val="auto"/>
          <w:highlight w:val="none"/>
        </w:rPr>
        <w:t>附件</w:t>
      </w:r>
      <w:r>
        <w:rPr>
          <w:rStyle w:val="54"/>
          <w:color w:val="auto"/>
          <w:highlight w:val="none"/>
        </w:rPr>
        <w:t>7-2</w:t>
      </w:r>
      <w:r>
        <w:rPr>
          <w:rStyle w:val="54"/>
          <w:rFonts w:hint="eastAsia"/>
          <w:color w:val="auto"/>
          <w:highlight w:val="none"/>
        </w:rPr>
        <w:t>保修期服务承诺</w:t>
      </w:r>
      <w:r>
        <w:rPr>
          <w:color w:val="auto"/>
          <w:highlight w:val="none"/>
        </w:rPr>
        <w:tab/>
      </w:r>
      <w:r>
        <w:rPr>
          <w:color w:val="auto"/>
          <w:highlight w:val="none"/>
        </w:rPr>
        <w:fldChar w:fldCharType="begin"/>
      </w:r>
      <w:r>
        <w:rPr>
          <w:color w:val="auto"/>
          <w:highlight w:val="none"/>
        </w:rPr>
        <w:instrText xml:space="preserve"> PAGEREF _Toc518557377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"_Toc518557378"</w:instrText>
      </w:r>
      <w:r>
        <w:rPr>
          <w:color w:val="auto"/>
          <w:highlight w:val="none"/>
        </w:rPr>
        <w:fldChar w:fldCharType="separate"/>
      </w:r>
      <w:r>
        <w:rPr>
          <w:rStyle w:val="54"/>
          <w:rFonts w:hint="eastAsia"/>
          <w:color w:val="auto"/>
          <w:highlight w:val="none"/>
        </w:rPr>
        <w:t>附件</w:t>
      </w:r>
      <w:r>
        <w:rPr>
          <w:rStyle w:val="54"/>
          <w:color w:val="auto"/>
          <w:highlight w:val="none"/>
        </w:rPr>
        <w:t>8-1</w:t>
      </w:r>
      <w:r>
        <w:rPr>
          <w:rStyle w:val="54"/>
          <w:rFonts w:hint="eastAsia"/>
          <w:color w:val="auto"/>
          <w:highlight w:val="none"/>
        </w:rPr>
        <w:t>中小企业声明函及声明函附件</w:t>
      </w:r>
      <w:r>
        <w:rPr>
          <w:color w:val="auto"/>
          <w:highlight w:val="none"/>
        </w:rPr>
        <w:tab/>
      </w:r>
      <w:r>
        <w:rPr>
          <w:color w:val="auto"/>
          <w:highlight w:val="none"/>
        </w:rPr>
        <w:fldChar w:fldCharType="begin"/>
      </w:r>
      <w:r>
        <w:rPr>
          <w:color w:val="auto"/>
          <w:highlight w:val="none"/>
        </w:rPr>
        <w:instrText xml:space="preserve"> PAGEREF _Toc518557378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"_Toc518557379"</w:instrText>
      </w:r>
      <w:r>
        <w:rPr>
          <w:color w:val="auto"/>
          <w:highlight w:val="none"/>
        </w:rPr>
        <w:fldChar w:fldCharType="separate"/>
      </w:r>
      <w:r>
        <w:rPr>
          <w:rStyle w:val="54"/>
          <w:rFonts w:hint="eastAsia"/>
          <w:color w:val="auto"/>
          <w:highlight w:val="none"/>
        </w:rPr>
        <w:t>附件</w:t>
      </w:r>
      <w:r>
        <w:rPr>
          <w:rStyle w:val="54"/>
          <w:color w:val="auto"/>
          <w:highlight w:val="none"/>
        </w:rPr>
        <w:t>8-2</w:t>
      </w:r>
      <w:r>
        <w:rPr>
          <w:rStyle w:val="54"/>
          <w:rFonts w:hint="eastAsia"/>
          <w:color w:val="auto"/>
          <w:highlight w:val="none"/>
        </w:rPr>
        <w:t>残疾人福利性单位声明函格式</w:t>
      </w:r>
      <w:r>
        <w:rPr>
          <w:color w:val="auto"/>
          <w:highlight w:val="none"/>
        </w:rPr>
        <w:tab/>
      </w:r>
      <w:r>
        <w:rPr>
          <w:color w:val="auto"/>
          <w:highlight w:val="none"/>
        </w:rPr>
        <w:fldChar w:fldCharType="begin"/>
      </w:r>
      <w:r>
        <w:rPr>
          <w:color w:val="auto"/>
          <w:highlight w:val="none"/>
        </w:rPr>
        <w:instrText xml:space="preserve"> PAGEREF _Toc518557379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"_Toc518557380"</w:instrText>
      </w:r>
      <w:r>
        <w:rPr>
          <w:color w:val="auto"/>
          <w:highlight w:val="none"/>
        </w:rPr>
        <w:fldChar w:fldCharType="separate"/>
      </w:r>
      <w:r>
        <w:rPr>
          <w:rStyle w:val="54"/>
          <w:rFonts w:hint="eastAsia"/>
          <w:color w:val="auto"/>
          <w:highlight w:val="none"/>
        </w:rPr>
        <w:t>附件</w:t>
      </w:r>
      <w:r>
        <w:rPr>
          <w:rStyle w:val="54"/>
          <w:color w:val="auto"/>
          <w:highlight w:val="none"/>
        </w:rPr>
        <w:t xml:space="preserve">9 </w:t>
      </w:r>
      <w:r>
        <w:rPr>
          <w:rStyle w:val="54"/>
          <w:rFonts w:hint="eastAsia"/>
          <w:color w:val="auto"/>
          <w:highlight w:val="none"/>
        </w:rPr>
        <w:t>政府采购担保函格式（供应商可自愿选择是否采用）</w:t>
      </w:r>
      <w:r>
        <w:rPr>
          <w:color w:val="auto"/>
          <w:highlight w:val="none"/>
        </w:rPr>
        <w:tab/>
      </w:r>
      <w:r>
        <w:rPr>
          <w:color w:val="auto"/>
          <w:highlight w:val="none"/>
        </w:rPr>
        <w:fldChar w:fldCharType="begin"/>
      </w:r>
      <w:r>
        <w:rPr>
          <w:color w:val="auto"/>
          <w:highlight w:val="none"/>
        </w:rPr>
        <w:instrText xml:space="preserve"> PAGEREF _Toc518557380 \h </w:instrText>
      </w:r>
      <w:r>
        <w:rPr>
          <w:color w:val="auto"/>
          <w:highlight w:val="none"/>
        </w:rPr>
        <w:fldChar w:fldCharType="separate"/>
      </w:r>
      <w:r>
        <w:rPr>
          <w:color w:val="auto"/>
          <w:highlight w:val="none"/>
        </w:rPr>
        <w:t>136</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"_Toc518557381"</w:instrText>
      </w:r>
      <w:r>
        <w:rPr>
          <w:color w:val="auto"/>
          <w:highlight w:val="none"/>
        </w:rPr>
        <w:fldChar w:fldCharType="separate"/>
      </w:r>
      <w:r>
        <w:rPr>
          <w:rStyle w:val="54"/>
          <w:rFonts w:hint="eastAsia"/>
          <w:color w:val="auto"/>
          <w:highlight w:val="none"/>
        </w:rPr>
        <w:t>附件</w:t>
      </w:r>
      <w:r>
        <w:rPr>
          <w:rStyle w:val="54"/>
          <w:color w:val="auto"/>
          <w:highlight w:val="none"/>
        </w:rPr>
        <w:t>10</w:t>
      </w:r>
      <w:r>
        <w:rPr>
          <w:rStyle w:val="54"/>
          <w:rFonts w:hint="eastAsia"/>
          <w:color w:val="auto"/>
          <w:highlight w:val="none"/>
        </w:rPr>
        <w:t>最后报价一览表（磋商后提交）</w:t>
      </w:r>
      <w:r>
        <w:rPr>
          <w:color w:val="auto"/>
          <w:highlight w:val="none"/>
        </w:rPr>
        <w:tab/>
      </w:r>
      <w:r>
        <w:rPr>
          <w:color w:val="auto"/>
          <w:highlight w:val="none"/>
        </w:rPr>
        <w:fldChar w:fldCharType="begin"/>
      </w:r>
      <w:r>
        <w:rPr>
          <w:color w:val="auto"/>
          <w:highlight w:val="none"/>
        </w:rPr>
        <w:instrText xml:space="preserve"> PAGEREF _Toc518557381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pPr>
        <w:pStyle w:val="24"/>
        <w:tabs>
          <w:tab w:val="right" w:leader="dot" w:pos="8890"/>
        </w:tabs>
        <w:ind w:firstLine="480"/>
        <w:rPr>
          <w:rFonts w:asciiTheme="minorHAnsi" w:hAnsiTheme="minorHAnsi" w:eastAsiaTheme="minorEastAsia" w:cstheme="minorBidi"/>
          <w:color w:val="auto"/>
          <w:kern w:val="2"/>
          <w:sz w:val="21"/>
          <w:szCs w:val="22"/>
          <w:highlight w:val="none"/>
        </w:rPr>
      </w:pPr>
      <w:r>
        <w:rPr>
          <w:color w:val="auto"/>
          <w:highlight w:val="none"/>
        </w:rPr>
        <w:fldChar w:fldCharType="begin"/>
      </w:r>
      <w:r>
        <w:rPr>
          <w:color w:val="auto"/>
          <w:highlight w:val="none"/>
        </w:rPr>
        <w:instrText xml:space="preserve">HYPERLINK \l "_Toc518557382"</w:instrText>
      </w:r>
      <w:r>
        <w:rPr>
          <w:color w:val="auto"/>
          <w:highlight w:val="none"/>
        </w:rPr>
        <w:fldChar w:fldCharType="separate"/>
      </w:r>
      <w:r>
        <w:rPr>
          <w:rStyle w:val="54"/>
          <w:rFonts w:hint="eastAsia"/>
          <w:color w:val="auto"/>
          <w:highlight w:val="none"/>
        </w:rPr>
        <w:t>附件</w:t>
      </w:r>
      <w:r>
        <w:rPr>
          <w:rStyle w:val="54"/>
          <w:color w:val="auto"/>
          <w:highlight w:val="none"/>
        </w:rPr>
        <w:t>11</w:t>
      </w:r>
      <w:r>
        <w:rPr>
          <w:rStyle w:val="54"/>
          <w:rFonts w:hint="eastAsia"/>
          <w:color w:val="auto"/>
          <w:highlight w:val="none"/>
        </w:rPr>
        <w:t>最后分项报价表（磋商后提交）</w:t>
      </w:r>
      <w:r>
        <w:rPr>
          <w:color w:val="auto"/>
          <w:highlight w:val="none"/>
        </w:rPr>
        <w:tab/>
      </w:r>
      <w:r>
        <w:rPr>
          <w:color w:val="auto"/>
          <w:highlight w:val="none"/>
        </w:rPr>
        <w:fldChar w:fldCharType="begin"/>
      </w:r>
      <w:r>
        <w:rPr>
          <w:color w:val="auto"/>
          <w:highlight w:val="none"/>
        </w:rPr>
        <w:instrText xml:space="preserve"> PAGEREF _Toc518557382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pPr>
        <w:pStyle w:val="37"/>
        <w:spacing w:before="120"/>
        <w:ind w:firstLine="442"/>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851" w:gutter="0"/>
          <w:pgNumType w:start="0"/>
          <w:cols w:space="720" w:num="1"/>
          <w:titlePg/>
          <w:docGrid w:linePitch="326" w:charSpace="0"/>
        </w:sectPr>
      </w:pPr>
      <w:r>
        <w:rPr>
          <w:rStyle w:val="54"/>
          <w:b/>
          <w:color w:val="auto"/>
          <w:sz w:val="22"/>
          <w:szCs w:val="22"/>
          <w:highlight w:val="none"/>
        </w:rPr>
        <w:fldChar w:fldCharType="end"/>
      </w:r>
    </w:p>
    <w:bookmarkEnd w:id="0"/>
    <w:bookmarkEnd w:id="1"/>
    <w:bookmarkEnd w:id="2"/>
    <w:p>
      <w:pPr>
        <w:pStyle w:val="2"/>
        <w:rPr>
          <w:color w:val="auto"/>
          <w:highlight w:val="none"/>
        </w:rPr>
      </w:pPr>
      <w:bookmarkStart w:id="3" w:name="_Toc462069432"/>
      <w:bookmarkStart w:id="4" w:name="_Toc443495084"/>
      <w:bookmarkStart w:id="5" w:name="_Toc462066498"/>
      <w:bookmarkStart w:id="6" w:name="_Toc453622067"/>
      <w:bookmarkStart w:id="7" w:name="_Toc518557351"/>
      <w:bookmarkStart w:id="8" w:name="_Toc432430456"/>
      <w:r>
        <w:rPr>
          <w:color w:val="auto"/>
          <w:highlight w:val="none"/>
        </w:rPr>
        <w:t>第一部分</w:t>
      </w:r>
      <w:bookmarkEnd w:id="3"/>
      <w:bookmarkEnd w:id="4"/>
      <w:bookmarkEnd w:id="5"/>
      <w:bookmarkEnd w:id="6"/>
      <w:r>
        <w:rPr>
          <w:color w:val="auto"/>
          <w:highlight w:val="none"/>
        </w:rPr>
        <w:t>采购邀请</w:t>
      </w:r>
      <w:bookmarkEnd w:id="7"/>
    </w:p>
    <w:p>
      <w:pPr>
        <w:spacing w:line="440" w:lineRule="exact"/>
        <w:rPr>
          <w:color w:val="auto"/>
          <w:highlight w:val="none"/>
        </w:rPr>
      </w:pPr>
      <w:r>
        <w:rPr>
          <w:rFonts w:hint="eastAsia"/>
          <w:color w:val="auto"/>
          <w:highlight w:val="none"/>
        </w:rPr>
        <w:t>中国劳动关系学院</w:t>
      </w:r>
      <w:r>
        <w:rPr>
          <w:color w:val="auto"/>
          <w:highlight w:val="none"/>
        </w:rPr>
        <w:t>以校内磋商方式对下述项目进行采购</w:t>
      </w:r>
      <w:r>
        <w:rPr>
          <w:rFonts w:hint="eastAsia"/>
          <w:color w:val="auto"/>
          <w:highlight w:val="none"/>
        </w:rPr>
        <w:t>，现邀请贵单位参加本项目</w:t>
      </w:r>
      <w:r>
        <w:rPr>
          <w:color w:val="auto"/>
          <w:highlight w:val="none"/>
        </w:rPr>
        <w:t>磋商。</w:t>
      </w:r>
    </w:p>
    <w:p>
      <w:pPr>
        <w:spacing w:line="440" w:lineRule="exact"/>
        <w:rPr>
          <w:color w:val="auto"/>
          <w:highlight w:val="none"/>
        </w:rPr>
      </w:pPr>
      <w:r>
        <w:rPr>
          <w:color w:val="auto"/>
          <w:highlight w:val="none"/>
        </w:rPr>
        <w:t>一、项目名称：</w:t>
      </w:r>
      <w:r>
        <w:rPr>
          <w:rFonts w:hint="eastAsia"/>
          <w:color w:val="auto"/>
          <w:highlight w:val="none"/>
        </w:rPr>
        <w:t>中国劳动关系学院北京地下三层篮球馆改造工程</w:t>
      </w:r>
    </w:p>
    <w:p>
      <w:pPr>
        <w:spacing w:line="440" w:lineRule="exact"/>
        <w:rPr>
          <w:color w:val="auto"/>
          <w:highlight w:val="none"/>
        </w:rPr>
      </w:pPr>
      <w:r>
        <w:rPr>
          <w:color w:val="auto"/>
          <w:highlight w:val="none"/>
        </w:rPr>
        <w:t>二、资金来源：财政资金</w:t>
      </w:r>
    </w:p>
    <w:p>
      <w:pPr>
        <w:spacing w:line="440" w:lineRule="exact"/>
        <w:rPr>
          <w:color w:val="auto"/>
          <w:highlight w:val="none"/>
        </w:rPr>
      </w:pPr>
      <w:r>
        <w:rPr>
          <w:rFonts w:hint="eastAsia"/>
          <w:color w:val="auto"/>
          <w:highlight w:val="none"/>
        </w:rPr>
        <w:t>三</w:t>
      </w:r>
      <w:r>
        <w:rPr>
          <w:color w:val="auto"/>
          <w:highlight w:val="none"/>
        </w:rPr>
        <w:t>、采购用途：自用</w:t>
      </w:r>
    </w:p>
    <w:p>
      <w:pPr>
        <w:spacing w:line="440" w:lineRule="exact"/>
        <w:rPr>
          <w:color w:val="auto"/>
          <w:highlight w:val="none"/>
        </w:rPr>
      </w:pPr>
      <w:r>
        <w:rPr>
          <w:rFonts w:hint="eastAsia"/>
          <w:color w:val="auto"/>
          <w:highlight w:val="none"/>
        </w:rPr>
        <w:t>四</w:t>
      </w:r>
      <w:r>
        <w:rPr>
          <w:color w:val="auto"/>
          <w:highlight w:val="none"/>
        </w:rPr>
        <w:t>、项目性质：</w:t>
      </w:r>
      <w:r>
        <w:rPr>
          <w:rFonts w:hint="eastAsia"/>
          <w:color w:val="auto"/>
          <w:highlight w:val="none"/>
        </w:rPr>
        <w:t>工程</w:t>
      </w:r>
    </w:p>
    <w:p>
      <w:pPr>
        <w:spacing w:line="440" w:lineRule="exact"/>
        <w:rPr>
          <w:color w:val="auto"/>
          <w:highlight w:val="none"/>
        </w:rPr>
      </w:pPr>
      <w:r>
        <w:rPr>
          <w:rFonts w:hint="eastAsia"/>
          <w:color w:val="auto"/>
          <w:highlight w:val="none"/>
        </w:rPr>
        <w:t>五</w:t>
      </w:r>
      <w:r>
        <w:rPr>
          <w:color w:val="auto"/>
          <w:highlight w:val="none"/>
        </w:rPr>
        <w:t>、</w:t>
      </w:r>
      <w:r>
        <w:rPr>
          <w:rFonts w:hint="eastAsia"/>
          <w:color w:val="auto"/>
          <w:highlight w:val="none"/>
        </w:rPr>
        <w:t>采购内容</w:t>
      </w:r>
      <w:r>
        <w:rPr>
          <w:color w:val="auto"/>
          <w:highlight w:val="none"/>
        </w:rPr>
        <w:t>：</w:t>
      </w:r>
    </w:p>
    <w:tbl>
      <w:tblPr>
        <w:tblStyle w:val="4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276"/>
        <w:gridCol w:w="2126"/>
        <w:gridCol w:w="113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blHeader/>
        </w:trPr>
        <w:tc>
          <w:tcPr>
            <w:tcW w:w="534"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rFonts w:hint="eastAsia"/>
                <w:color w:val="auto"/>
                <w:sz w:val="24"/>
                <w:szCs w:val="24"/>
                <w:highlight w:val="none"/>
              </w:rPr>
              <w:t>包号</w:t>
            </w:r>
          </w:p>
        </w:tc>
        <w:tc>
          <w:tcPr>
            <w:tcW w:w="1275"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color w:val="auto"/>
                <w:sz w:val="24"/>
                <w:szCs w:val="24"/>
                <w:highlight w:val="none"/>
              </w:rPr>
              <w:t>采购内容</w:t>
            </w:r>
          </w:p>
        </w:tc>
        <w:tc>
          <w:tcPr>
            <w:tcW w:w="1276"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color w:val="auto"/>
                <w:sz w:val="24"/>
                <w:szCs w:val="24"/>
                <w:highlight w:val="none"/>
              </w:rPr>
              <w:t>采购预算</w:t>
            </w:r>
          </w:p>
          <w:p>
            <w:pPr>
              <w:pStyle w:val="145"/>
              <w:jc w:val="center"/>
              <w:rPr>
                <w:rFonts w:hAnsi="Times New Roman"/>
                <w:color w:val="auto"/>
                <w:sz w:val="24"/>
                <w:szCs w:val="24"/>
                <w:highlight w:val="none"/>
              </w:rPr>
            </w:pPr>
            <w:r>
              <w:rPr>
                <w:color w:val="auto"/>
                <w:sz w:val="24"/>
                <w:szCs w:val="24"/>
                <w:highlight w:val="none"/>
              </w:rPr>
              <w:t>（</w:t>
            </w:r>
            <w:r>
              <w:rPr>
                <w:rFonts w:hint="eastAsia" w:cs="仿宋_GB2312"/>
                <w:color w:val="auto"/>
                <w:sz w:val="24"/>
                <w:szCs w:val="24"/>
                <w:highlight w:val="none"/>
              </w:rPr>
              <w:t>万元</w:t>
            </w:r>
            <w:r>
              <w:rPr>
                <w:color w:val="auto"/>
                <w:sz w:val="24"/>
                <w:szCs w:val="24"/>
                <w:highlight w:val="none"/>
              </w:rPr>
              <w:t>）</w:t>
            </w:r>
          </w:p>
        </w:tc>
        <w:tc>
          <w:tcPr>
            <w:tcW w:w="2126"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rFonts w:hint="eastAsia"/>
                <w:color w:val="auto"/>
                <w:sz w:val="24"/>
                <w:szCs w:val="24"/>
                <w:highlight w:val="none"/>
              </w:rPr>
              <w:t>工期要求</w:t>
            </w:r>
          </w:p>
        </w:tc>
        <w:tc>
          <w:tcPr>
            <w:tcW w:w="1134"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rFonts w:hint="eastAsia"/>
                <w:color w:val="auto"/>
                <w:sz w:val="24"/>
                <w:szCs w:val="24"/>
                <w:highlight w:val="none"/>
              </w:rPr>
              <w:t>工程质量要求</w:t>
            </w:r>
          </w:p>
        </w:tc>
        <w:tc>
          <w:tcPr>
            <w:tcW w:w="3119"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color w:val="auto"/>
                <w:sz w:val="24"/>
                <w:szCs w:val="24"/>
                <w:highlight w:val="none"/>
              </w:rPr>
              <w:t>项目基本概况介绍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atLeast"/>
        </w:trPr>
        <w:tc>
          <w:tcPr>
            <w:tcW w:w="534" w:type="dxa"/>
            <w:tcBorders>
              <w:top w:val="single" w:color="auto" w:sz="4" w:space="0"/>
              <w:left w:val="single" w:color="auto" w:sz="4" w:space="0"/>
              <w:bottom w:val="single" w:color="auto" w:sz="4" w:space="0"/>
              <w:right w:val="single" w:color="auto" w:sz="4" w:space="0"/>
            </w:tcBorders>
            <w:vAlign w:val="center"/>
          </w:tcPr>
          <w:p>
            <w:pPr>
              <w:pStyle w:val="145"/>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01</w:t>
            </w:r>
          </w:p>
        </w:tc>
        <w:tc>
          <w:tcPr>
            <w:tcW w:w="1275" w:type="dxa"/>
            <w:tcBorders>
              <w:top w:val="single" w:color="auto" w:sz="4" w:space="0"/>
              <w:left w:val="single" w:color="auto" w:sz="4" w:space="0"/>
              <w:bottom w:val="single" w:color="auto" w:sz="4" w:space="0"/>
              <w:right w:val="single" w:color="auto" w:sz="4" w:space="0"/>
            </w:tcBorders>
            <w:vAlign w:val="center"/>
          </w:tcPr>
          <w:p>
            <w:pPr>
              <w:pStyle w:val="145"/>
              <w:jc w:val="center"/>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北京地下三层篮球馆改造工程</w:t>
            </w:r>
          </w:p>
        </w:tc>
        <w:tc>
          <w:tcPr>
            <w:tcW w:w="1276"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rFonts w:hint="eastAsia" w:cs="仿宋_GB2312"/>
                <w:color w:val="auto"/>
                <w:sz w:val="24"/>
                <w:szCs w:val="24"/>
                <w:highlight w:val="none"/>
              </w:rPr>
              <w:t>136.151563</w:t>
            </w:r>
          </w:p>
        </w:tc>
        <w:tc>
          <w:tcPr>
            <w:tcW w:w="2126" w:type="dxa"/>
            <w:tcBorders>
              <w:top w:val="single" w:color="auto" w:sz="4" w:space="0"/>
              <w:left w:val="single" w:color="auto" w:sz="4" w:space="0"/>
              <w:bottom w:val="single" w:color="auto" w:sz="4" w:space="0"/>
              <w:right w:val="single" w:color="auto" w:sz="4" w:space="0"/>
            </w:tcBorders>
            <w:vAlign w:val="center"/>
          </w:tcPr>
          <w:p>
            <w:pPr>
              <w:pStyle w:val="145"/>
              <w:jc w:val="center"/>
              <w:rPr>
                <w:rFonts w:cs="仿宋_GB2312"/>
                <w:color w:val="auto"/>
                <w:sz w:val="24"/>
                <w:szCs w:val="24"/>
                <w:highlight w:val="none"/>
              </w:rPr>
            </w:pPr>
            <w:r>
              <w:rPr>
                <w:rFonts w:hint="eastAsia" w:cs="仿宋_GB2312"/>
                <w:color w:val="auto"/>
                <w:sz w:val="24"/>
                <w:szCs w:val="24"/>
                <w:highlight w:val="none"/>
              </w:rPr>
              <w:t>工期：31日历天</w:t>
            </w:r>
          </w:p>
          <w:p>
            <w:pPr>
              <w:pStyle w:val="145"/>
              <w:jc w:val="center"/>
              <w:rPr>
                <w:rFonts w:cs="仿宋_GB2312"/>
                <w:color w:val="auto"/>
                <w:sz w:val="24"/>
                <w:szCs w:val="24"/>
                <w:highlight w:val="none"/>
              </w:rPr>
            </w:pPr>
            <w:r>
              <w:rPr>
                <w:rFonts w:hint="eastAsia" w:cs="仿宋_GB2312"/>
                <w:color w:val="auto"/>
                <w:sz w:val="24"/>
                <w:szCs w:val="24"/>
                <w:highlight w:val="none"/>
              </w:rPr>
              <w:t>计划开工时间：2019年10月28日</w:t>
            </w:r>
          </w:p>
          <w:p>
            <w:pPr>
              <w:pStyle w:val="145"/>
              <w:jc w:val="center"/>
              <w:rPr>
                <w:rFonts w:hAnsi="Times New Roman"/>
                <w:color w:val="auto"/>
                <w:sz w:val="24"/>
                <w:szCs w:val="24"/>
                <w:highlight w:val="none"/>
              </w:rPr>
            </w:pPr>
            <w:r>
              <w:rPr>
                <w:rFonts w:hint="eastAsia" w:cs="仿宋_GB2312"/>
                <w:color w:val="auto"/>
                <w:sz w:val="24"/>
                <w:szCs w:val="24"/>
                <w:highlight w:val="none"/>
              </w:rPr>
              <w:t>计划竣工时间：2019年11月28日</w:t>
            </w:r>
          </w:p>
        </w:tc>
        <w:tc>
          <w:tcPr>
            <w:tcW w:w="1134" w:type="dxa"/>
            <w:tcBorders>
              <w:top w:val="single" w:color="auto" w:sz="4" w:space="0"/>
              <w:left w:val="single" w:color="auto" w:sz="4" w:space="0"/>
              <w:bottom w:val="single" w:color="auto" w:sz="4" w:space="0"/>
              <w:right w:val="single" w:color="auto" w:sz="4" w:space="0"/>
            </w:tcBorders>
            <w:vAlign w:val="center"/>
          </w:tcPr>
          <w:p>
            <w:pPr>
              <w:pStyle w:val="145"/>
              <w:jc w:val="center"/>
              <w:rPr>
                <w:rFonts w:hAnsi="Times New Roman"/>
                <w:color w:val="auto"/>
                <w:sz w:val="24"/>
                <w:szCs w:val="24"/>
                <w:highlight w:val="none"/>
              </w:rPr>
            </w:pPr>
            <w:r>
              <w:rPr>
                <w:rFonts w:hint="eastAsia"/>
                <w:bCs/>
                <w:color w:val="auto"/>
                <w:kern w:val="0"/>
                <w:sz w:val="24"/>
                <w:szCs w:val="24"/>
                <w:highlight w:val="none"/>
              </w:rPr>
              <w:t>合格</w:t>
            </w:r>
          </w:p>
        </w:tc>
        <w:tc>
          <w:tcPr>
            <w:tcW w:w="3119" w:type="dxa"/>
            <w:tcBorders>
              <w:top w:val="single" w:color="auto" w:sz="4" w:space="0"/>
              <w:left w:val="single" w:color="auto" w:sz="4" w:space="0"/>
              <w:bottom w:val="single" w:color="auto" w:sz="4" w:space="0"/>
              <w:right w:val="single" w:color="auto" w:sz="4" w:space="0"/>
            </w:tcBorders>
            <w:vAlign w:val="center"/>
          </w:tcPr>
          <w:p>
            <w:pPr>
              <w:pStyle w:val="145"/>
              <w:rPr>
                <w:color w:val="auto"/>
                <w:sz w:val="24"/>
                <w:szCs w:val="24"/>
                <w:highlight w:val="none"/>
              </w:rPr>
            </w:pPr>
            <w:r>
              <w:rPr>
                <w:rFonts w:hint="eastAsia"/>
                <w:color w:val="auto"/>
                <w:sz w:val="24"/>
                <w:szCs w:val="24"/>
                <w:highlight w:val="none"/>
              </w:rPr>
              <w:t>建设地点：中国劳动关系学院北京校区</w:t>
            </w:r>
          </w:p>
          <w:p>
            <w:pPr>
              <w:pStyle w:val="145"/>
              <w:rPr>
                <w:rFonts w:asciiTheme="minorEastAsia" w:hAnsiTheme="minorEastAsia"/>
                <w:bCs/>
                <w:color w:val="auto"/>
                <w:sz w:val="24"/>
                <w:szCs w:val="24"/>
                <w:highlight w:val="none"/>
              </w:rPr>
            </w:pPr>
            <w:r>
              <w:rPr>
                <w:rFonts w:hint="eastAsia"/>
                <w:color w:val="auto"/>
                <w:sz w:val="24"/>
                <w:szCs w:val="24"/>
                <w:highlight w:val="none"/>
              </w:rPr>
              <w:t>采购范围：改造施工，工程量清单范围内的所有内容。</w:t>
            </w:r>
          </w:p>
        </w:tc>
      </w:tr>
    </w:tbl>
    <w:p>
      <w:pPr>
        <w:spacing w:line="440" w:lineRule="exact"/>
        <w:rPr>
          <w:color w:val="auto"/>
          <w:highlight w:val="none"/>
        </w:rPr>
      </w:pPr>
      <w:r>
        <w:rPr>
          <w:rFonts w:hint="eastAsia"/>
          <w:color w:val="auto"/>
          <w:highlight w:val="none"/>
        </w:rPr>
        <w:t>六</w:t>
      </w:r>
      <w:r>
        <w:rPr>
          <w:color w:val="auto"/>
          <w:highlight w:val="none"/>
        </w:rPr>
        <w:t>、本项目需要落实的政府采购政策：</w:t>
      </w:r>
    </w:p>
    <w:p>
      <w:pPr>
        <w:spacing w:line="440" w:lineRule="exact"/>
        <w:rPr>
          <w:color w:val="auto"/>
          <w:highlight w:val="none"/>
        </w:rPr>
      </w:pPr>
      <w:r>
        <w:rPr>
          <w:rFonts w:hint="eastAsia"/>
          <w:color w:val="auto"/>
          <w:highlight w:val="none"/>
        </w:rPr>
        <w:t>本项目需要落实的政府采购政策：节约能源、保护环境、促进中小企业及监狱企业发展、促进残疾人就业、使用信用记录结果、政府采购政策具体落实情况详见采购文件。</w:t>
      </w:r>
    </w:p>
    <w:p>
      <w:pPr>
        <w:spacing w:line="440" w:lineRule="exact"/>
        <w:rPr>
          <w:color w:val="auto"/>
          <w:sz w:val="20"/>
          <w:highlight w:val="none"/>
        </w:rPr>
      </w:pPr>
      <w:r>
        <w:rPr>
          <w:rFonts w:hint="eastAsia"/>
          <w:color w:val="auto"/>
          <w:highlight w:val="none"/>
        </w:rPr>
        <w:t>七</w:t>
      </w:r>
      <w:r>
        <w:rPr>
          <w:color w:val="auto"/>
          <w:highlight w:val="none"/>
        </w:rPr>
        <w:t>、供应商资格条件（须同时满足）：</w:t>
      </w:r>
    </w:p>
    <w:p>
      <w:pPr>
        <w:spacing w:line="440" w:lineRule="exact"/>
        <w:ind w:firstLine="482" w:firstLineChars="0"/>
        <w:rPr>
          <w:rFonts w:ascii="宋体" w:hAnsi="宋体"/>
          <w:color w:val="auto"/>
          <w:szCs w:val="24"/>
          <w:highlight w:val="none"/>
        </w:rPr>
      </w:pPr>
      <w:r>
        <w:rPr>
          <w:rFonts w:ascii="宋体" w:hAnsi="宋体"/>
          <w:color w:val="auto"/>
          <w:szCs w:val="24"/>
          <w:highlight w:val="none"/>
        </w:rPr>
        <w:t>1）在中华人民共和国境内注册的本国供应商，包括法人、其他组织；</w:t>
      </w:r>
    </w:p>
    <w:p>
      <w:pPr>
        <w:spacing w:line="440" w:lineRule="exact"/>
        <w:ind w:firstLine="482" w:firstLineChars="0"/>
        <w:rPr>
          <w:rFonts w:ascii="宋体" w:hAnsi="宋体"/>
          <w:color w:val="auto"/>
          <w:szCs w:val="24"/>
          <w:highlight w:val="none"/>
        </w:rPr>
      </w:pPr>
      <w:r>
        <w:rPr>
          <w:rFonts w:hint="eastAsia" w:ascii="宋体" w:hAnsi="宋体"/>
          <w:color w:val="auto"/>
          <w:szCs w:val="24"/>
          <w:highlight w:val="none"/>
        </w:rPr>
        <w:t>2）供应商须为《</w:t>
      </w:r>
      <w:r>
        <w:rPr>
          <w:rFonts w:ascii="宋体" w:hAnsi="宋体"/>
          <w:color w:val="auto"/>
          <w:szCs w:val="24"/>
          <w:highlight w:val="none"/>
        </w:rPr>
        <w:t>201</w:t>
      </w:r>
      <w:r>
        <w:rPr>
          <w:rFonts w:hint="eastAsia" w:ascii="宋体" w:hAnsi="宋体"/>
          <w:color w:val="auto"/>
          <w:szCs w:val="24"/>
          <w:highlight w:val="none"/>
        </w:rPr>
        <w:t>8</w:t>
      </w:r>
      <w:r>
        <w:rPr>
          <w:rFonts w:ascii="宋体" w:hAnsi="宋体"/>
          <w:color w:val="auto"/>
          <w:szCs w:val="24"/>
          <w:highlight w:val="none"/>
        </w:rPr>
        <w:t>-20</w:t>
      </w:r>
      <w:r>
        <w:rPr>
          <w:rFonts w:hint="eastAsia" w:ascii="宋体" w:hAnsi="宋体"/>
          <w:color w:val="auto"/>
          <w:szCs w:val="24"/>
          <w:highlight w:val="none"/>
        </w:rPr>
        <w:t>20</w:t>
      </w:r>
      <w:r>
        <w:rPr>
          <w:rFonts w:ascii="宋体" w:hAnsi="宋体"/>
          <w:color w:val="auto"/>
          <w:szCs w:val="24"/>
          <w:highlight w:val="none"/>
        </w:rPr>
        <w:t>年度中央国家机关工程定点施工企业名录</w:t>
      </w:r>
      <w:r>
        <w:rPr>
          <w:rFonts w:hint="eastAsia" w:ascii="宋体" w:hAnsi="宋体"/>
          <w:color w:val="auto"/>
          <w:szCs w:val="24"/>
          <w:highlight w:val="none"/>
        </w:rPr>
        <w:t>》内第一包房屋建筑工程施工总承包、或第二包建筑装饰装修工程的定点供应商；项目经理需在央采系统备案，且</w:t>
      </w:r>
      <w:r>
        <w:rPr>
          <w:rFonts w:hint="eastAsia"/>
          <w:b/>
          <w:color w:val="auto"/>
          <w:szCs w:val="21"/>
          <w:highlight w:val="none"/>
        </w:rPr>
        <w:t>具备建筑工程专业贰级（含）以上注册建造师执业资格，具备有效的安全生产考核合格证书（B本）</w:t>
      </w:r>
    </w:p>
    <w:p>
      <w:pPr>
        <w:spacing w:line="440" w:lineRule="exact"/>
        <w:ind w:firstLine="482" w:firstLineChars="0"/>
        <w:rPr>
          <w:rFonts w:ascii="宋体" w:hAnsi="宋体"/>
          <w:color w:val="auto"/>
          <w:szCs w:val="24"/>
          <w:highlight w:val="none"/>
        </w:rPr>
      </w:pPr>
      <w:r>
        <w:rPr>
          <w:rFonts w:hint="eastAsia" w:ascii="宋体" w:hAnsi="宋体"/>
          <w:color w:val="auto"/>
          <w:szCs w:val="24"/>
          <w:highlight w:val="none"/>
        </w:rPr>
        <w:t>3</w:t>
      </w:r>
      <w:r>
        <w:rPr>
          <w:rFonts w:ascii="宋体" w:hAnsi="宋体"/>
          <w:color w:val="auto"/>
          <w:szCs w:val="24"/>
          <w:highlight w:val="none"/>
        </w:rPr>
        <w:t>）</w:t>
      </w:r>
      <w:r>
        <w:rPr>
          <w:rFonts w:hint="eastAsia" w:ascii="宋体" w:hAnsi="宋体"/>
          <w:color w:val="auto"/>
          <w:szCs w:val="24"/>
          <w:highlight w:val="none"/>
        </w:rPr>
        <w:t>供应商未列入失信被执行人、重大税收违法案件当事人名单、政府采购严重违法失信行为名单；</w:t>
      </w:r>
    </w:p>
    <w:p>
      <w:pPr>
        <w:spacing w:line="440" w:lineRule="exact"/>
        <w:rPr>
          <w:rFonts w:ascii="宋体" w:hAnsi="宋体"/>
          <w:color w:val="auto"/>
          <w:szCs w:val="24"/>
          <w:highlight w:val="none"/>
        </w:rPr>
      </w:pPr>
      <w:r>
        <w:rPr>
          <w:rFonts w:hint="eastAsia" w:ascii="宋体" w:hAnsi="宋体"/>
          <w:color w:val="auto"/>
          <w:szCs w:val="24"/>
          <w:highlight w:val="none"/>
        </w:rPr>
        <w:t>4</w:t>
      </w:r>
      <w:r>
        <w:rPr>
          <w:rFonts w:ascii="宋体" w:hAnsi="宋体"/>
          <w:color w:val="auto"/>
          <w:szCs w:val="24"/>
          <w:highlight w:val="none"/>
        </w:rPr>
        <w:t>）本项目不接受联合体</w:t>
      </w:r>
      <w:r>
        <w:rPr>
          <w:rFonts w:hint="eastAsia" w:ascii="宋体" w:hAnsi="宋体"/>
          <w:color w:val="auto"/>
          <w:szCs w:val="24"/>
          <w:highlight w:val="none"/>
        </w:rPr>
        <w:t>；</w:t>
      </w:r>
    </w:p>
    <w:p>
      <w:pPr>
        <w:spacing w:line="440" w:lineRule="exact"/>
        <w:ind w:firstLine="482" w:firstLineChars="0"/>
        <w:rPr>
          <w:rFonts w:ascii="宋体" w:hAnsi="宋体"/>
          <w:color w:val="auto"/>
          <w:szCs w:val="24"/>
          <w:highlight w:val="none"/>
        </w:rPr>
      </w:pPr>
      <w:r>
        <w:rPr>
          <w:rFonts w:hint="eastAsia" w:ascii="宋体" w:hAnsi="宋体"/>
          <w:color w:val="auto"/>
          <w:szCs w:val="24"/>
          <w:highlight w:val="none"/>
        </w:rPr>
        <w:t>5</w:t>
      </w:r>
      <w:r>
        <w:rPr>
          <w:rFonts w:ascii="宋体" w:hAnsi="宋体"/>
          <w:color w:val="auto"/>
          <w:szCs w:val="24"/>
          <w:highlight w:val="none"/>
        </w:rPr>
        <w:t>）本项目为非专门面向中小企业的项目</w:t>
      </w:r>
      <w:r>
        <w:rPr>
          <w:rFonts w:hint="eastAsia" w:ascii="宋体" w:hAnsi="宋体"/>
          <w:color w:val="auto"/>
          <w:szCs w:val="24"/>
          <w:highlight w:val="none"/>
        </w:rPr>
        <w:t>；</w:t>
      </w:r>
    </w:p>
    <w:p>
      <w:pPr>
        <w:spacing w:line="440" w:lineRule="exact"/>
        <w:ind w:firstLine="482" w:firstLineChars="0"/>
        <w:rPr>
          <w:rFonts w:ascii="宋体" w:hAnsi="宋体"/>
          <w:color w:val="auto"/>
          <w:szCs w:val="24"/>
          <w:highlight w:val="none"/>
        </w:rPr>
      </w:pPr>
      <w:r>
        <w:rPr>
          <w:rFonts w:hint="eastAsia" w:ascii="宋体" w:hAnsi="宋体"/>
          <w:color w:val="auto"/>
          <w:szCs w:val="24"/>
          <w:highlight w:val="none"/>
        </w:rPr>
        <w:t>6）</w:t>
      </w:r>
      <w:r>
        <w:rPr>
          <w:rFonts w:ascii="宋体" w:hAnsi="宋体"/>
          <w:color w:val="auto"/>
          <w:szCs w:val="24"/>
          <w:highlight w:val="none"/>
        </w:rPr>
        <w:t>本项目不接受进口产品（进口产品是指通过中国海关报关，验放进入中国境内，且产自关境外的产品）</w:t>
      </w:r>
      <w:r>
        <w:rPr>
          <w:rFonts w:hint="eastAsia" w:ascii="宋体" w:hAnsi="宋体"/>
          <w:color w:val="auto"/>
          <w:szCs w:val="24"/>
          <w:highlight w:val="none"/>
        </w:rPr>
        <w:t>；</w:t>
      </w:r>
    </w:p>
    <w:p>
      <w:pPr>
        <w:spacing w:line="440" w:lineRule="exact"/>
        <w:ind w:firstLine="482" w:firstLineChars="0"/>
        <w:rPr>
          <w:rFonts w:ascii="宋体" w:hAnsi="宋体"/>
          <w:color w:val="auto"/>
          <w:szCs w:val="24"/>
          <w:highlight w:val="none"/>
        </w:rPr>
      </w:pPr>
      <w:r>
        <w:rPr>
          <w:rFonts w:hint="eastAsia" w:ascii="宋体" w:hAnsi="宋体"/>
          <w:color w:val="auto"/>
          <w:szCs w:val="24"/>
          <w:highlight w:val="none"/>
        </w:rPr>
        <w:t>7</w:t>
      </w:r>
      <w:r>
        <w:rPr>
          <w:rFonts w:ascii="宋体" w:hAnsi="宋体"/>
          <w:color w:val="auto"/>
          <w:szCs w:val="24"/>
          <w:highlight w:val="none"/>
        </w:rPr>
        <w:t>）法律、行政法规</w:t>
      </w:r>
      <w:r>
        <w:rPr>
          <w:rFonts w:hint="eastAsia" w:ascii="宋体" w:hAnsi="宋体"/>
          <w:color w:val="auto"/>
          <w:szCs w:val="24"/>
          <w:highlight w:val="none"/>
        </w:rPr>
        <w:t>、采购文件关于合格的供应商的其他条件。</w:t>
      </w:r>
    </w:p>
    <w:p>
      <w:pPr>
        <w:widowControl/>
        <w:spacing w:line="440" w:lineRule="exact"/>
        <w:rPr>
          <w:color w:val="auto"/>
          <w:highlight w:val="none"/>
        </w:rPr>
      </w:pPr>
      <w:r>
        <w:rPr>
          <w:rFonts w:hint="eastAsia"/>
          <w:color w:val="auto"/>
          <w:highlight w:val="none"/>
        </w:rPr>
        <w:t>八、报名时间、地点</w:t>
      </w:r>
    </w:p>
    <w:p>
      <w:pPr>
        <w:widowControl/>
        <w:spacing w:line="440" w:lineRule="exact"/>
        <w:rPr>
          <w:rFonts w:cs="宋体" w:asciiTheme="minorEastAsia" w:hAnsiTheme="minorEastAsia"/>
          <w:color w:val="auto"/>
          <w:szCs w:val="24"/>
          <w:highlight w:val="none"/>
        </w:rPr>
      </w:pPr>
      <w:r>
        <w:rPr>
          <w:rFonts w:hint="eastAsia" w:cs="宋体" w:asciiTheme="minorEastAsia" w:hAnsiTheme="minorEastAsia"/>
          <w:color w:val="auto"/>
          <w:szCs w:val="24"/>
          <w:highlight w:val="none"/>
        </w:rPr>
        <w:t>报名文件递交时间：2019年10月12日至2019年10月17日</w:t>
      </w:r>
    </w:p>
    <w:p>
      <w:pPr>
        <w:widowControl/>
        <w:spacing w:line="440" w:lineRule="exact"/>
        <w:rPr>
          <w:rFonts w:cs="宋体" w:asciiTheme="minorEastAsia" w:hAnsiTheme="minorEastAsia"/>
          <w:color w:val="auto"/>
          <w:szCs w:val="24"/>
          <w:highlight w:val="none"/>
        </w:rPr>
      </w:pPr>
      <w:r>
        <w:rPr>
          <w:rFonts w:hint="eastAsia" w:cs="宋体" w:asciiTheme="minorEastAsia" w:hAnsiTheme="minorEastAsia"/>
          <w:color w:val="auto"/>
          <w:szCs w:val="24"/>
          <w:highlight w:val="none"/>
        </w:rPr>
        <w:t>报名文件递交邮箱地址：</w:t>
      </w:r>
      <w:r>
        <w:rPr>
          <w:rFonts w:hint="eastAsia" w:cs="宋体" w:asciiTheme="minorEastAsia" w:hAnsiTheme="minorEastAsia"/>
          <w:color w:val="auto"/>
          <w:szCs w:val="24"/>
          <w:highlight w:val="none"/>
          <w:u w:val="single"/>
        </w:rPr>
        <w:t>cgzb666@sina.com</w:t>
      </w:r>
    </w:p>
    <w:p>
      <w:pPr>
        <w:widowControl/>
        <w:spacing w:line="440" w:lineRule="exact"/>
        <w:rPr>
          <w:rFonts w:cs="宋体" w:asciiTheme="minorEastAsia" w:hAnsiTheme="minorEastAsia"/>
          <w:color w:val="auto"/>
          <w:szCs w:val="24"/>
          <w:highlight w:val="none"/>
        </w:rPr>
      </w:pPr>
      <w:r>
        <w:rPr>
          <w:rFonts w:hint="eastAsia" w:cs="宋体" w:asciiTheme="minorEastAsia" w:hAnsiTheme="minorEastAsia"/>
          <w:color w:val="auto"/>
          <w:szCs w:val="24"/>
          <w:highlight w:val="none"/>
        </w:rPr>
        <w:t>报名截止时间：2019年10月17日17时30分，截至此时间未完成递交的报名文件将视为无效文件，即为无效报名。</w:t>
      </w:r>
    </w:p>
    <w:p>
      <w:pPr>
        <w:widowControl/>
        <w:spacing w:line="440" w:lineRule="exact"/>
        <w:rPr>
          <w:rFonts w:cs="宋体" w:asciiTheme="minorEastAsia" w:hAnsiTheme="minorEastAsia"/>
          <w:color w:val="auto"/>
          <w:szCs w:val="24"/>
          <w:highlight w:val="none"/>
        </w:rPr>
      </w:pPr>
      <w:r>
        <w:rPr>
          <w:rFonts w:hint="eastAsia" w:cs="宋体" w:asciiTheme="minorEastAsia" w:hAnsiTheme="minorEastAsia"/>
          <w:color w:val="auto"/>
          <w:szCs w:val="24"/>
          <w:highlight w:val="none"/>
        </w:rPr>
        <w:t>报名需求：报名邮件主题需注明报名参加的项目名称及公司名称；报名供应商需按要求如实填写“投标报名表”，并加盖企业公章后扫描上传至报名邮箱。</w:t>
      </w:r>
    </w:p>
    <w:p>
      <w:pPr>
        <w:widowControl/>
        <w:spacing w:line="440" w:lineRule="exact"/>
        <w:rPr>
          <w:rFonts w:cs="宋体" w:asciiTheme="minorEastAsia" w:hAnsiTheme="minorEastAsia"/>
          <w:color w:val="auto"/>
          <w:szCs w:val="24"/>
          <w:highlight w:val="none"/>
        </w:rPr>
      </w:pPr>
    </w:p>
    <w:p>
      <w:pPr>
        <w:spacing w:line="440" w:lineRule="exact"/>
        <w:rPr>
          <w:color w:val="auto"/>
          <w:highlight w:val="none"/>
        </w:rPr>
      </w:pPr>
      <w:r>
        <w:rPr>
          <w:rFonts w:hint="eastAsia"/>
          <w:snapToGrid w:val="0"/>
          <w:color w:val="auto"/>
          <w:highlight w:val="none"/>
        </w:rPr>
        <w:t>九</w:t>
      </w:r>
      <w:r>
        <w:rPr>
          <w:snapToGrid w:val="0"/>
          <w:color w:val="auto"/>
          <w:highlight w:val="none"/>
        </w:rPr>
        <w:t>、首次响应文件提交截止时间、开启时间及地点：</w:t>
      </w:r>
    </w:p>
    <w:p>
      <w:pPr>
        <w:spacing w:line="440" w:lineRule="exact"/>
        <w:rPr>
          <w:color w:val="auto"/>
          <w:highlight w:val="none"/>
        </w:rPr>
      </w:pPr>
      <w:r>
        <w:rPr>
          <w:color w:val="auto"/>
          <w:highlight w:val="none"/>
        </w:rPr>
        <w:t>1）首次响应文件提交截止时间</w:t>
      </w:r>
      <w:r>
        <w:rPr>
          <w:snapToGrid w:val="0"/>
          <w:color w:val="auto"/>
          <w:highlight w:val="none"/>
        </w:rPr>
        <w:t>、开</w:t>
      </w:r>
      <w:r>
        <w:rPr>
          <w:snapToGrid w:val="0"/>
          <w:color w:val="auto"/>
          <w:highlight w:val="none"/>
        </w:rPr>
        <w:t>启时间</w:t>
      </w:r>
      <w:r>
        <w:rPr>
          <w:color w:val="auto"/>
          <w:highlight w:val="none"/>
        </w:rPr>
        <w:t>：201</w:t>
      </w:r>
      <w:r>
        <w:rPr>
          <w:rFonts w:hint="eastAsia"/>
          <w:color w:val="auto"/>
          <w:highlight w:val="none"/>
        </w:rPr>
        <w:t>9</w:t>
      </w:r>
      <w:r>
        <w:rPr>
          <w:color w:val="auto"/>
          <w:highlight w:val="none"/>
        </w:rPr>
        <w:t>年</w:t>
      </w:r>
      <w:r>
        <w:rPr>
          <w:rFonts w:hint="eastAsia" w:cs="仿宋_GB2312"/>
          <w:color w:val="auto"/>
          <w:szCs w:val="24"/>
          <w:highlight w:val="none"/>
        </w:rPr>
        <w:t>10</w:t>
      </w:r>
      <w:r>
        <w:rPr>
          <w:color w:val="auto"/>
          <w:highlight w:val="none"/>
        </w:rPr>
        <w:t>月</w:t>
      </w:r>
      <w:r>
        <w:rPr>
          <w:rFonts w:hint="eastAsia" w:cs="仿宋_GB2312"/>
          <w:color w:val="auto"/>
          <w:szCs w:val="24"/>
          <w:highlight w:val="none"/>
        </w:rPr>
        <w:t>21</w:t>
      </w:r>
      <w:r>
        <w:rPr>
          <w:color w:val="auto"/>
          <w:highlight w:val="none"/>
        </w:rPr>
        <w:t>日</w:t>
      </w:r>
      <w:r>
        <w:rPr>
          <w:rFonts w:hint="eastAsia"/>
          <w:color w:val="auto"/>
          <w:highlight w:val="none"/>
        </w:rPr>
        <w:t>14</w:t>
      </w:r>
      <w:r>
        <w:rPr>
          <w:color w:val="auto"/>
          <w:highlight w:val="none"/>
        </w:rPr>
        <w:t>：</w:t>
      </w:r>
      <w:r>
        <w:rPr>
          <w:rFonts w:hint="eastAsia"/>
          <w:color w:val="auto"/>
          <w:highlight w:val="none"/>
        </w:rPr>
        <w:t>30</w:t>
      </w:r>
      <w:r>
        <w:rPr>
          <w:color w:val="auto"/>
          <w:highlight w:val="none"/>
        </w:rPr>
        <w:t>（北京时间）。</w:t>
      </w:r>
      <w:r>
        <w:rPr>
          <w:color w:val="auto"/>
          <w:highlight w:val="none"/>
        </w:rPr>
        <w:t>届时请参加磋商的单位派授权代表出席项目采购会议。</w:t>
      </w:r>
    </w:p>
    <w:p>
      <w:pPr>
        <w:spacing w:line="440" w:lineRule="exact"/>
        <w:rPr>
          <w:color w:val="auto"/>
          <w:highlight w:val="none"/>
        </w:rPr>
      </w:pPr>
      <w:r>
        <w:rPr>
          <w:color w:val="auto"/>
          <w:highlight w:val="none"/>
        </w:rPr>
        <w:t>2）首次</w:t>
      </w:r>
      <w:r>
        <w:rPr>
          <w:snapToGrid w:val="0"/>
          <w:color w:val="auto"/>
          <w:highlight w:val="none"/>
        </w:rPr>
        <w:t>响应文件提交和开启</w:t>
      </w:r>
      <w:r>
        <w:rPr>
          <w:color w:val="auto"/>
          <w:highlight w:val="none"/>
        </w:rPr>
        <w:t>地点：</w:t>
      </w:r>
      <w:r>
        <w:rPr>
          <w:rFonts w:hint="eastAsia"/>
          <w:color w:val="auto"/>
          <w:highlight w:val="none"/>
        </w:rPr>
        <w:t>北京市海淀区增光路45号中国劳动关系学院致远楼409</w:t>
      </w:r>
      <w:r>
        <w:rPr>
          <w:color w:val="auto"/>
          <w:highlight w:val="none"/>
        </w:rPr>
        <w:t>。</w:t>
      </w:r>
    </w:p>
    <w:p>
      <w:pPr>
        <w:spacing w:line="440" w:lineRule="exact"/>
        <w:rPr>
          <w:snapToGrid w:val="0"/>
          <w:color w:val="auto"/>
          <w:highlight w:val="none"/>
        </w:rPr>
      </w:pPr>
      <w:r>
        <w:rPr>
          <w:color w:val="auto"/>
          <w:highlight w:val="none"/>
        </w:rPr>
        <w:t>3）响应文件须于首次响应文件提交截止时间当日、响应文件提交截止时间之前直接送达响应地点，以电报、电话、传真、电子邮件形式递交的响应文件将不予接受，</w:t>
      </w:r>
      <w:r>
        <w:rPr>
          <w:snapToGrid w:val="0"/>
          <w:color w:val="auto"/>
          <w:highlight w:val="none"/>
        </w:rPr>
        <w:t>逾期送达或未按本磋商采购文件规定进行密封的响应文件恕不接受。</w:t>
      </w:r>
    </w:p>
    <w:p>
      <w:pPr>
        <w:spacing w:line="440" w:lineRule="exact"/>
        <w:rPr>
          <w:color w:val="auto"/>
          <w:highlight w:val="none"/>
        </w:rPr>
      </w:pPr>
      <w:r>
        <w:rPr>
          <w:color w:val="auto"/>
          <w:highlight w:val="none"/>
        </w:rPr>
        <w:t>十、采购人信息：</w:t>
      </w:r>
    </w:p>
    <w:p>
      <w:pPr>
        <w:spacing w:line="440" w:lineRule="exact"/>
        <w:rPr>
          <w:color w:val="auto"/>
          <w:highlight w:val="none"/>
        </w:rPr>
      </w:pPr>
      <w:r>
        <w:rPr>
          <w:color w:val="auto"/>
          <w:highlight w:val="none"/>
        </w:rPr>
        <w:t>名称：</w:t>
      </w:r>
      <w:r>
        <w:rPr>
          <w:rFonts w:hint="eastAsia"/>
          <w:color w:val="auto"/>
          <w:szCs w:val="24"/>
          <w:highlight w:val="none"/>
        </w:rPr>
        <w:t>中国劳动关系学院</w:t>
      </w:r>
    </w:p>
    <w:p>
      <w:pPr>
        <w:spacing w:line="440" w:lineRule="exact"/>
        <w:rPr>
          <w:color w:val="auto"/>
          <w:highlight w:val="none"/>
        </w:rPr>
      </w:pPr>
      <w:r>
        <w:rPr>
          <w:rFonts w:hint="eastAsia"/>
          <w:color w:val="auto"/>
          <w:highlight w:val="none"/>
        </w:rPr>
        <w:t xml:space="preserve">地址：北京市海淀区增光路45号 </w:t>
      </w:r>
    </w:p>
    <w:p>
      <w:pPr>
        <w:widowControl/>
        <w:spacing w:line="440" w:lineRule="exact"/>
        <w:rPr>
          <w:color w:val="auto"/>
          <w:highlight w:val="none"/>
        </w:rPr>
      </w:pPr>
      <w:r>
        <w:rPr>
          <w:color w:val="auto"/>
          <w:highlight w:val="none"/>
        </w:rPr>
        <w:t>联系人：</w:t>
      </w:r>
      <w:r>
        <w:rPr>
          <w:rFonts w:hint="eastAsia"/>
          <w:color w:val="auto"/>
          <w:highlight w:val="none"/>
        </w:rPr>
        <w:t>周老师  刘老师</w:t>
      </w:r>
    </w:p>
    <w:p>
      <w:pPr>
        <w:spacing w:line="440" w:lineRule="exact"/>
        <w:rPr>
          <w:color w:val="auto"/>
          <w:highlight w:val="none"/>
        </w:rPr>
      </w:pPr>
      <w:r>
        <w:rPr>
          <w:rFonts w:hint="eastAsia"/>
          <w:color w:val="auto"/>
          <w:highlight w:val="none"/>
        </w:rPr>
        <w:t>联系电话：</w:t>
      </w:r>
      <w:r>
        <w:rPr>
          <w:color w:val="auto"/>
          <w:highlight w:val="none"/>
        </w:rPr>
        <w:t>010-</w:t>
      </w:r>
      <w:r>
        <w:rPr>
          <w:rFonts w:hint="eastAsia"/>
          <w:color w:val="auto"/>
          <w:highlight w:val="none"/>
        </w:rPr>
        <w:t>88562580  010-88561791</w:t>
      </w:r>
    </w:p>
    <w:p>
      <w:pPr>
        <w:spacing w:line="440" w:lineRule="exact"/>
        <w:jc w:val="right"/>
        <w:rPr>
          <w:color w:val="auto"/>
          <w:highlight w:val="none"/>
        </w:rPr>
      </w:pPr>
      <w:r>
        <w:rPr>
          <w:color w:val="auto"/>
          <w:highlight w:val="none"/>
        </w:rPr>
        <w:t>201</w:t>
      </w:r>
      <w:r>
        <w:rPr>
          <w:rFonts w:hint="eastAsia"/>
          <w:color w:val="auto"/>
          <w:highlight w:val="none"/>
        </w:rPr>
        <w:t>9</w:t>
      </w:r>
      <w:r>
        <w:rPr>
          <w:color w:val="auto"/>
          <w:highlight w:val="none"/>
        </w:rPr>
        <w:t>年</w:t>
      </w:r>
      <w:r>
        <w:rPr>
          <w:rFonts w:hint="eastAsia" w:cs="仿宋_GB2312"/>
          <w:color w:val="auto"/>
          <w:szCs w:val="24"/>
          <w:highlight w:val="none"/>
        </w:rPr>
        <w:t>10</w:t>
      </w:r>
      <w:r>
        <w:rPr>
          <w:color w:val="auto"/>
          <w:highlight w:val="none"/>
        </w:rPr>
        <w:t>月</w:t>
      </w:r>
      <w:r>
        <w:rPr>
          <w:rFonts w:hint="eastAsia"/>
          <w:color w:val="auto"/>
          <w:highlight w:val="none"/>
        </w:rPr>
        <w:t>12</w:t>
      </w:r>
      <w:r>
        <w:rPr>
          <w:color w:val="auto"/>
          <w:highlight w:val="none"/>
        </w:rPr>
        <w:t>日</w:t>
      </w:r>
    </w:p>
    <w:p>
      <w:pPr>
        <w:widowControl/>
        <w:adjustRightInd/>
        <w:spacing w:line="240" w:lineRule="auto"/>
        <w:ind w:firstLine="0" w:firstLineChars="0"/>
        <w:textAlignment w:val="auto"/>
        <w:rPr>
          <w:color w:val="auto"/>
          <w:highlight w:val="none"/>
        </w:rPr>
      </w:pPr>
      <w:r>
        <w:rPr>
          <w:color w:val="auto"/>
          <w:highlight w:val="none"/>
        </w:rPr>
        <w:br w:type="page"/>
      </w:r>
      <w:r>
        <w:rPr>
          <w:rFonts w:hint="eastAsia"/>
          <w:color w:val="auto"/>
          <w:highlight w:val="none"/>
        </w:rPr>
        <w:t>附件  投标报名表</w:t>
      </w:r>
    </w:p>
    <w:p>
      <w:pPr>
        <w:spacing w:line="440" w:lineRule="exact"/>
        <w:rPr>
          <w:color w:val="auto"/>
          <w:highlight w:val="none"/>
        </w:rPr>
      </w:pPr>
      <w:r>
        <w:rPr>
          <w:rFonts w:hint="eastAsia"/>
          <w:color w:val="auto"/>
          <w:highlight w:val="none"/>
        </w:rPr>
        <w:t>项目名称：</w:t>
      </w:r>
    </w:p>
    <w:tbl>
      <w:tblPr>
        <w:tblStyle w:val="47"/>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1497"/>
        <w:gridCol w:w="1266"/>
        <w:gridCol w:w="1747"/>
        <w:gridCol w:w="800"/>
        <w:gridCol w:w="541"/>
        <w:gridCol w:w="1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512" w:type="dxa"/>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单位名称</w:t>
            </w:r>
          </w:p>
        </w:tc>
        <w:tc>
          <w:tcPr>
            <w:tcW w:w="2763"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747" w:type="dxa"/>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单位地址</w:t>
            </w:r>
          </w:p>
        </w:tc>
        <w:tc>
          <w:tcPr>
            <w:tcW w:w="2506" w:type="dxa"/>
            <w:gridSpan w:val="3"/>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1512" w:type="dxa"/>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联系人</w:t>
            </w:r>
          </w:p>
        </w:tc>
        <w:tc>
          <w:tcPr>
            <w:tcW w:w="2763"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747" w:type="dxa"/>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color w:val="auto"/>
                <w:kern w:val="2"/>
                <w:szCs w:val="24"/>
                <w:highlight w:val="none"/>
              </w:rPr>
              <w:t>联系电话</w:t>
            </w:r>
          </w:p>
        </w:tc>
        <w:tc>
          <w:tcPr>
            <w:tcW w:w="2506" w:type="dxa"/>
            <w:gridSpan w:val="3"/>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512" w:type="dxa"/>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成立时间</w:t>
            </w:r>
          </w:p>
        </w:tc>
        <w:tc>
          <w:tcPr>
            <w:tcW w:w="149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注册资金</w:t>
            </w:r>
          </w:p>
          <w:p>
            <w:pPr>
              <w:adjustRightInd/>
              <w:ind w:firstLine="0" w:firstLineChars="0"/>
              <w:jc w:val="center"/>
              <w:textAlignment w:val="auto"/>
              <w:rPr>
                <w:rFonts w:ascii="宋体"/>
                <w:color w:val="auto"/>
                <w:kern w:val="2"/>
                <w:szCs w:val="24"/>
                <w:highlight w:val="none"/>
              </w:rPr>
            </w:pPr>
            <w:r>
              <w:rPr>
                <w:rFonts w:ascii="宋体" w:hAnsi="宋体"/>
                <w:color w:val="auto"/>
                <w:kern w:val="2"/>
                <w:szCs w:val="24"/>
                <w:highlight w:val="none"/>
              </w:rPr>
              <w:t>(</w:t>
            </w:r>
            <w:r>
              <w:rPr>
                <w:rFonts w:hint="eastAsia" w:ascii="宋体" w:hAnsi="宋体"/>
                <w:color w:val="auto"/>
                <w:kern w:val="2"/>
                <w:szCs w:val="24"/>
                <w:highlight w:val="none"/>
              </w:rPr>
              <w:t>万元</w:t>
            </w:r>
            <w:r>
              <w:rPr>
                <w:rFonts w:ascii="宋体" w:hAnsi="宋体"/>
                <w:color w:val="auto"/>
                <w:kern w:val="2"/>
                <w:szCs w:val="24"/>
                <w:highlight w:val="none"/>
              </w:rPr>
              <w:t>)</w:t>
            </w:r>
          </w:p>
        </w:tc>
        <w:tc>
          <w:tcPr>
            <w:tcW w:w="174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341"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企业净资产</w:t>
            </w:r>
          </w:p>
          <w:p>
            <w:pPr>
              <w:adjustRightInd/>
              <w:ind w:firstLine="0" w:firstLineChars="0"/>
              <w:jc w:val="center"/>
              <w:textAlignment w:val="auto"/>
              <w:rPr>
                <w:rFonts w:ascii="宋体"/>
                <w:color w:val="auto"/>
                <w:kern w:val="2"/>
                <w:szCs w:val="24"/>
                <w:highlight w:val="none"/>
              </w:rPr>
            </w:pPr>
            <w:r>
              <w:rPr>
                <w:rFonts w:ascii="宋体" w:hAnsi="宋体"/>
                <w:color w:val="auto"/>
                <w:kern w:val="2"/>
                <w:szCs w:val="24"/>
                <w:highlight w:val="none"/>
              </w:rPr>
              <w:t>(</w:t>
            </w:r>
            <w:r>
              <w:rPr>
                <w:rFonts w:hint="eastAsia" w:ascii="宋体" w:hAnsi="宋体"/>
                <w:color w:val="auto"/>
                <w:kern w:val="2"/>
                <w:szCs w:val="24"/>
                <w:highlight w:val="none"/>
              </w:rPr>
              <w:t>万元</w:t>
            </w:r>
            <w:r>
              <w:rPr>
                <w:rFonts w:ascii="宋体" w:hAnsi="宋体"/>
                <w:color w:val="auto"/>
                <w:kern w:val="2"/>
                <w:szCs w:val="24"/>
                <w:highlight w:val="none"/>
              </w:rPr>
              <w:t>)</w:t>
            </w:r>
          </w:p>
        </w:tc>
        <w:tc>
          <w:tcPr>
            <w:tcW w:w="1165" w:type="dxa"/>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512" w:type="dxa"/>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法人代表</w:t>
            </w:r>
          </w:p>
        </w:tc>
        <w:tc>
          <w:tcPr>
            <w:tcW w:w="149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项目负责人</w:t>
            </w:r>
          </w:p>
        </w:tc>
        <w:tc>
          <w:tcPr>
            <w:tcW w:w="4253" w:type="dxa"/>
            <w:gridSpan w:val="4"/>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1512" w:type="dxa"/>
            <w:vMerge w:val="restart"/>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企业相关资质情况</w:t>
            </w:r>
          </w:p>
        </w:tc>
        <w:tc>
          <w:tcPr>
            <w:tcW w:w="149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资质名称</w:t>
            </w:r>
          </w:p>
        </w:tc>
        <w:tc>
          <w:tcPr>
            <w:tcW w:w="1266"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资质等级</w:t>
            </w:r>
          </w:p>
        </w:tc>
        <w:tc>
          <w:tcPr>
            <w:tcW w:w="2547"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颁发部门</w:t>
            </w:r>
          </w:p>
        </w:tc>
        <w:tc>
          <w:tcPr>
            <w:tcW w:w="1706" w:type="dxa"/>
            <w:gridSpan w:val="2"/>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颁发时间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2" w:hRule="atLeast"/>
          <w:jc w:val="center"/>
        </w:trPr>
        <w:tc>
          <w:tcPr>
            <w:tcW w:w="1512" w:type="dxa"/>
            <w:vMerge w:val="continue"/>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706" w:type="dxa"/>
            <w:gridSpan w:val="2"/>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1512" w:type="dxa"/>
            <w:vMerge w:val="continue"/>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266" w:type="dxa"/>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2547" w:type="dxa"/>
            <w:gridSpan w:val="2"/>
            <w:tcBorders>
              <w:top w:val="single" w:color="auto" w:sz="4" w:space="0"/>
              <w:left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p>
        </w:tc>
        <w:tc>
          <w:tcPr>
            <w:tcW w:w="1706" w:type="dxa"/>
            <w:gridSpan w:val="2"/>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6022" w:type="dxa"/>
            <w:gridSpan w:val="4"/>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投标人近三年有无不良记录或因招投标违规涉及司法诉讼情况</w:t>
            </w:r>
          </w:p>
        </w:tc>
        <w:tc>
          <w:tcPr>
            <w:tcW w:w="2506" w:type="dxa"/>
            <w:gridSpan w:val="3"/>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有（</w:t>
            </w:r>
            <w:r>
              <w:rPr>
                <w:rFonts w:hint="eastAsia" w:ascii="宋体"/>
                <w:color w:val="auto"/>
                <w:kern w:val="2"/>
                <w:szCs w:val="24"/>
                <w:highlight w:val="none"/>
              </w:rPr>
              <w:t xml:space="preserve">   </w:t>
            </w:r>
            <w:r>
              <w:rPr>
                <w:rFonts w:hint="eastAsia" w:ascii="宋体" w:hAnsi="宋体"/>
                <w:color w:val="auto"/>
                <w:kern w:val="2"/>
                <w:szCs w:val="24"/>
                <w:highlight w:val="none"/>
              </w:rPr>
              <w:t>），无（</w:t>
            </w:r>
            <w:r>
              <w:rPr>
                <w:rFonts w:hint="eastAsia" w:ascii="宋体"/>
                <w:color w:val="auto"/>
                <w:kern w:val="2"/>
                <w:szCs w:val="24"/>
                <w:highlight w:val="none"/>
              </w:rPr>
              <w:t xml:space="preserve">   </w:t>
            </w:r>
            <w:r>
              <w:rPr>
                <w:rFonts w:hint="eastAsia" w:ascii="宋体" w:hAnsi="宋体"/>
                <w:color w:val="auto"/>
                <w:kern w:val="2"/>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6022" w:type="dxa"/>
            <w:gridSpan w:val="4"/>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hAnsi="宋体"/>
                <w:color w:val="auto"/>
                <w:kern w:val="2"/>
                <w:szCs w:val="24"/>
                <w:highlight w:val="none"/>
              </w:rPr>
            </w:pPr>
            <w:r>
              <w:rPr>
                <w:rFonts w:hint="eastAsia" w:ascii="宋体" w:hAnsi="宋体"/>
                <w:color w:val="auto"/>
                <w:kern w:val="2"/>
                <w:szCs w:val="24"/>
                <w:highlight w:val="none"/>
              </w:rPr>
              <w:t>拟投标包号及名称（项目无分包不用写）</w:t>
            </w:r>
          </w:p>
        </w:tc>
        <w:tc>
          <w:tcPr>
            <w:tcW w:w="2506" w:type="dxa"/>
            <w:gridSpan w:val="3"/>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hAnsi="宋体"/>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1" w:hRule="atLeast"/>
          <w:jc w:val="center"/>
        </w:trPr>
        <w:tc>
          <w:tcPr>
            <w:tcW w:w="1512" w:type="dxa"/>
            <w:tcBorders>
              <w:top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投标人近三年承担过类似项目业绩</w:t>
            </w:r>
          </w:p>
        </w:tc>
        <w:tc>
          <w:tcPr>
            <w:tcW w:w="7016" w:type="dxa"/>
            <w:gridSpan w:val="6"/>
            <w:tcBorders>
              <w:top w:val="single" w:color="auto" w:sz="4" w:space="0"/>
              <w:left w:val="single" w:color="auto" w:sz="4" w:space="0"/>
            </w:tcBorders>
            <w:vAlign w:val="center"/>
          </w:tcPr>
          <w:p>
            <w:pPr>
              <w:adjustRightInd/>
              <w:ind w:firstLine="0" w:firstLineChars="0"/>
              <w:jc w:val="both"/>
              <w:textAlignment w:val="auto"/>
              <w:rPr>
                <w:rFonts w:ascii="宋体"/>
                <w:color w:val="auto"/>
                <w:kern w:val="2"/>
                <w:szCs w:val="24"/>
                <w:highlight w:val="none"/>
              </w:rPr>
            </w:pPr>
            <w:r>
              <w:rPr>
                <w:rFonts w:hint="eastAsia" w:ascii="宋体" w:hAnsi="宋体"/>
                <w:color w:val="auto"/>
                <w:kern w:val="2"/>
                <w:szCs w:val="24"/>
                <w:highlight w:val="none"/>
              </w:rPr>
              <w:t>请详细填写</w:t>
            </w:r>
            <w:r>
              <w:rPr>
                <w:rFonts w:ascii="宋体" w:hAnsi="宋体"/>
                <w:color w:val="auto"/>
                <w:kern w:val="2"/>
                <w:szCs w:val="24"/>
                <w:highlight w:val="none"/>
              </w:rPr>
              <w:t>20</w:t>
            </w:r>
            <w:r>
              <w:rPr>
                <w:rFonts w:hint="eastAsia" w:ascii="宋体" w:hAnsi="宋体"/>
                <w:color w:val="auto"/>
                <w:kern w:val="2"/>
                <w:szCs w:val="24"/>
                <w:highlight w:val="none"/>
              </w:rPr>
              <w:t>16年6月6日至今类似项目业绩，包括项目名称、承包范围、开竣工日期、合同金额、业主单位等内容。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65" w:hRule="atLeast"/>
          <w:jc w:val="center"/>
        </w:trPr>
        <w:tc>
          <w:tcPr>
            <w:tcW w:w="1512" w:type="dxa"/>
            <w:tcBorders>
              <w:top w:val="single" w:color="auto" w:sz="4" w:space="0"/>
              <w:bottom w:val="single" w:color="auto" w:sz="4" w:space="0"/>
              <w:right w:val="single" w:color="auto" w:sz="4" w:space="0"/>
            </w:tcBorders>
            <w:vAlign w:val="center"/>
          </w:tcPr>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其他有竞争力</w:t>
            </w:r>
          </w:p>
          <w:p>
            <w:pPr>
              <w:adjustRightInd/>
              <w:ind w:firstLine="0" w:firstLineChars="0"/>
              <w:jc w:val="center"/>
              <w:textAlignment w:val="auto"/>
              <w:rPr>
                <w:rFonts w:ascii="宋体"/>
                <w:color w:val="auto"/>
                <w:kern w:val="2"/>
                <w:szCs w:val="24"/>
                <w:highlight w:val="none"/>
              </w:rPr>
            </w:pPr>
            <w:r>
              <w:rPr>
                <w:rFonts w:hint="eastAsia" w:ascii="宋体" w:hAnsi="宋体"/>
                <w:color w:val="auto"/>
                <w:kern w:val="2"/>
                <w:szCs w:val="24"/>
                <w:highlight w:val="none"/>
              </w:rPr>
              <w:t>的说明</w:t>
            </w:r>
          </w:p>
        </w:tc>
        <w:tc>
          <w:tcPr>
            <w:tcW w:w="7016" w:type="dxa"/>
            <w:gridSpan w:val="6"/>
            <w:tcBorders>
              <w:top w:val="single" w:color="auto" w:sz="4" w:space="0"/>
              <w:left w:val="single" w:color="auto" w:sz="4" w:space="0"/>
              <w:bottom w:val="single" w:color="auto" w:sz="4" w:space="0"/>
            </w:tcBorders>
            <w:vAlign w:val="center"/>
          </w:tcPr>
          <w:p>
            <w:pPr>
              <w:adjustRightInd/>
              <w:ind w:firstLine="0" w:firstLineChars="0"/>
              <w:jc w:val="center"/>
              <w:textAlignment w:val="auto"/>
              <w:rPr>
                <w:rFonts w:ascii="宋体"/>
                <w:color w:val="auto"/>
                <w:kern w:val="2"/>
                <w:szCs w:val="24"/>
                <w:highlight w:val="none"/>
              </w:rPr>
            </w:pPr>
          </w:p>
        </w:tc>
      </w:tr>
    </w:tbl>
    <w:p>
      <w:pPr>
        <w:rPr>
          <w:rFonts w:ascii="宋体" w:hAnsi="宋体"/>
          <w:color w:val="auto"/>
          <w:szCs w:val="24"/>
          <w:highlight w:val="none"/>
        </w:rPr>
      </w:pPr>
      <w:r>
        <w:rPr>
          <w:rFonts w:hint="eastAsia" w:ascii="宋体" w:hAnsi="宋体"/>
          <w:color w:val="auto"/>
          <w:szCs w:val="24"/>
          <w:highlight w:val="none"/>
        </w:rPr>
        <w:t>注：</w:t>
      </w:r>
      <w:r>
        <w:rPr>
          <w:rFonts w:ascii="宋体" w:hAnsi="宋体"/>
          <w:color w:val="auto"/>
          <w:szCs w:val="24"/>
          <w:highlight w:val="none"/>
        </w:rPr>
        <w:t>1</w:t>
      </w:r>
      <w:r>
        <w:rPr>
          <w:rFonts w:hint="eastAsia" w:ascii="宋体" w:hAnsi="宋体"/>
          <w:color w:val="auto"/>
          <w:szCs w:val="24"/>
          <w:highlight w:val="none"/>
        </w:rPr>
        <w:t>、本表需要加盖投标单位公章，扫描后发送至报名邮箱cgzb666@sina.com</w:t>
      </w:r>
    </w:p>
    <w:p>
      <w:pPr>
        <w:rPr>
          <w:rFonts w:ascii="宋体" w:hAnsi="宋体"/>
          <w:color w:val="auto"/>
          <w:szCs w:val="24"/>
          <w:highlight w:val="none"/>
        </w:rPr>
      </w:pPr>
      <w:r>
        <w:rPr>
          <w:rFonts w:hint="eastAsia" w:ascii="宋体" w:hAnsi="宋体"/>
          <w:color w:val="auto"/>
          <w:szCs w:val="24"/>
          <w:highlight w:val="none"/>
        </w:rPr>
        <w:t>2、本项目含多类别采购项目，供应商应在拟投标包号及名称中列明投标项目，类似业绩填报拟投标项目类似业绩。</w:t>
      </w:r>
    </w:p>
    <w:p>
      <w:pPr>
        <w:spacing w:line="440" w:lineRule="exact"/>
        <w:rPr>
          <w:color w:val="auto"/>
          <w:highlight w:val="none"/>
        </w:rPr>
      </w:pPr>
    </w:p>
    <w:p>
      <w:pPr>
        <w:widowControl/>
        <w:adjustRightInd/>
        <w:spacing w:line="240" w:lineRule="auto"/>
        <w:ind w:firstLine="0" w:firstLineChars="0"/>
        <w:textAlignment w:val="auto"/>
        <w:rPr>
          <w:b/>
          <w:bCs/>
          <w:color w:val="auto"/>
          <w:kern w:val="44"/>
          <w:sz w:val="28"/>
          <w:szCs w:val="28"/>
          <w:highlight w:val="none"/>
        </w:rPr>
      </w:pPr>
      <w:bookmarkStart w:id="9" w:name="_Toc518557352"/>
      <w:bookmarkStart w:id="10" w:name="_Toc462066499"/>
      <w:bookmarkStart w:id="11" w:name="_Toc462069433"/>
      <w:bookmarkStart w:id="12" w:name="_Toc453622068"/>
      <w:r>
        <w:rPr>
          <w:color w:val="auto"/>
          <w:highlight w:val="none"/>
        </w:rPr>
        <w:br w:type="page"/>
      </w:r>
    </w:p>
    <w:p>
      <w:pPr>
        <w:pStyle w:val="2"/>
        <w:rPr>
          <w:b w:val="0"/>
          <w:color w:val="auto"/>
          <w:highlight w:val="none"/>
        </w:rPr>
      </w:pPr>
      <w:r>
        <w:rPr>
          <w:color w:val="auto"/>
          <w:highlight w:val="none"/>
        </w:rPr>
        <w:t>第二部分供应商须知</w:t>
      </w:r>
      <w:bookmarkEnd w:id="8"/>
      <w:bookmarkEnd w:id="9"/>
      <w:bookmarkEnd w:id="10"/>
      <w:bookmarkEnd w:id="11"/>
      <w:bookmarkEnd w:id="12"/>
    </w:p>
    <w:p>
      <w:pPr>
        <w:pStyle w:val="155"/>
        <w:rPr>
          <w:rFonts w:ascii="Times New Roman" w:hAnsi="Times New Roman"/>
          <w:color w:val="auto"/>
          <w:highlight w:val="none"/>
        </w:rPr>
      </w:pPr>
      <w:r>
        <w:rPr>
          <w:rFonts w:ascii="Times New Roman"/>
          <w:color w:val="auto"/>
          <w:highlight w:val="none"/>
        </w:rPr>
        <w:t>供应商须知前附表</w:t>
      </w:r>
    </w:p>
    <w:p>
      <w:pPr>
        <w:pStyle w:val="145"/>
        <w:rPr>
          <w:rFonts w:ascii="Times New Roman" w:hAnsi="Times New Roman"/>
          <w:color w:val="auto"/>
          <w:highlight w:val="none"/>
        </w:rPr>
      </w:pPr>
      <w:r>
        <w:rPr>
          <w:rFonts w:ascii="Times New Roman"/>
          <w:color w:val="auto"/>
          <w:highlight w:val="none"/>
        </w:rPr>
        <w:t>注：本须知前附表是对供应商须知的修改或补充，如有矛盾，均以本表为准。</w:t>
      </w:r>
    </w:p>
    <w:tbl>
      <w:tblPr>
        <w:tblStyle w:val="47"/>
        <w:tblW w:w="911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9"/>
        <w:gridCol w:w="81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tblHeader/>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bCs/>
                <w:color w:val="auto"/>
                <w:sz w:val="24"/>
                <w:szCs w:val="24"/>
                <w:highlight w:val="none"/>
              </w:rPr>
            </w:pPr>
            <w:r>
              <w:rPr>
                <w:rFonts w:asciiTheme="minorEastAsia" w:hAnsiTheme="minorEastAsia" w:eastAsiaTheme="minorEastAsia"/>
                <w:color w:val="auto"/>
                <w:sz w:val="24"/>
                <w:szCs w:val="24"/>
                <w:highlight w:val="none"/>
              </w:rPr>
              <w:t>条款号</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4"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1.1</w:t>
            </w:r>
          </w:p>
        </w:tc>
        <w:tc>
          <w:tcPr>
            <w:tcW w:w="8157" w:type="dxa"/>
            <w:tcBorders>
              <w:top w:val="single" w:color="auto" w:sz="6" w:space="0"/>
              <w:left w:val="single" w:color="auto" w:sz="6" w:space="0"/>
              <w:bottom w:val="single" w:color="auto" w:sz="4"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项目名称：</w:t>
            </w:r>
            <w:r>
              <w:rPr>
                <w:rFonts w:hint="eastAsia" w:asciiTheme="minorEastAsia" w:hAnsiTheme="minorEastAsia" w:eastAsiaTheme="minorEastAsia"/>
                <w:color w:val="auto"/>
                <w:sz w:val="24"/>
                <w:szCs w:val="24"/>
                <w:highlight w:val="none"/>
              </w:rPr>
              <w:t>中国劳动关系学院北京地下三层篮球馆改造工程</w:t>
            </w:r>
          </w:p>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资金来源：财政资金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4" w:space="0"/>
              <w:left w:val="single" w:color="auto" w:sz="6" w:space="0"/>
              <w:bottom w:val="single" w:color="auto" w:sz="4"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2.1</w:t>
            </w:r>
          </w:p>
        </w:tc>
        <w:tc>
          <w:tcPr>
            <w:tcW w:w="8157" w:type="dxa"/>
            <w:tcBorders>
              <w:top w:val="single" w:color="auto" w:sz="4" w:space="0"/>
              <w:left w:val="single" w:color="auto" w:sz="6" w:space="0"/>
              <w:bottom w:val="single" w:color="auto" w:sz="4"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r>
              <w:rPr>
                <w:rFonts w:hint="eastAsia" w:asciiTheme="minorEastAsia" w:hAnsiTheme="minorEastAsia" w:eastAsiaTheme="minorEastAsia"/>
                <w:color w:val="auto"/>
                <w:sz w:val="24"/>
                <w:szCs w:val="24"/>
                <w:highlight w:val="none"/>
              </w:rPr>
              <w:t>中国劳动关系学院</w:t>
            </w:r>
          </w:p>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采购人地址：</w:t>
            </w:r>
            <w:r>
              <w:rPr>
                <w:rFonts w:hint="eastAsia" w:asciiTheme="minorEastAsia" w:hAnsiTheme="minorEastAsia" w:eastAsiaTheme="minorEastAsia"/>
                <w:color w:val="auto"/>
                <w:sz w:val="24"/>
                <w:szCs w:val="24"/>
                <w:highlight w:val="none"/>
              </w:rPr>
              <w:t>北京市海淀区增光路45号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4"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7.1</w:t>
            </w:r>
          </w:p>
        </w:tc>
        <w:tc>
          <w:tcPr>
            <w:tcW w:w="8157" w:type="dxa"/>
            <w:tcBorders>
              <w:top w:val="single" w:color="auto" w:sz="4"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采购文件的澄清：供应商如有需要澄清的问题，请于201</w:t>
            </w:r>
            <w:r>
              <w:rPr>
                <w:rFonts w:hint="eastAsia" w:asciiTheme="minorEastAsia" w:hAnsiTheme="minorEastAsia" w:eastAsiaTheme="minorEastAsia"/>
                <w:color w:val="auto"/>
                <w:sz w:val="24"/>
                <w:szCs w:val="24"/>
                <w:highlight w:val="none"/>
              </w:rPr>
              <w:t>9</w:t>
            </w:r>
            <w:r>
              <w:rPr>
                <w:rFonts w:asciiTheme="minorEastAsia" w:hAnsiTheme="minorEastAsia" w:eastAsiaTheme="minorEastAsia"/>
                <w:color w:val="auto"/>
                <w:sz w:val="24"/>
                <w:szCs w:val="24"/>
                <w:highlight w:val="none"/>
              </w:rPr>
              <w:t>年</w:t>
            </w:r>
            <w:r>
              <w:rPr>
                <w:rFonts w:hint="eastAsia" w:cs="仿宋_GB2312"/>
                <w:color w:val="auto"/>
                <w:szCs w:val="24"/>
                <w:highlight w:val="none"/>
              </w:rPr>
              <w:t>10</w:t>
            </w:r>
            <w:r>
              <w:rPr>
                <w:rFonts w:asciiTheme="minorEastAsia" w:hAnsiTheme="minorEastAsia" w:eastAsiaTheme="minorEastAsia"/>
                <w:color w:val="auto"/>
                <w:sz w:val="24"/>
                <w:szCs w:val="24"/>
                <w:highlight w:val="none"/>
              </w:rPr>
              <w:t>月</w:t>
            </w:r>
            <w:r>
              <w:rPr>
                <w:rFonts w:hint="eastAsia" w:cs="仿宋_GB2312"/>
                <w:color w:val="auto"/>
                <w:szCs w:val="24"/>
                <w:highlight w:val="none"/>
              </w:rPr>
              <w:t>18</w:t>
            </w:r>
            <w:r>
              <w:rPr>
                <w:rFonts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前将需澄清问题电子文档发送至</w:t>
            </w:r>
            <w:r>
              <w:rPr>
                <w:rFonts w:hint="eastAsia" w:asciiTheme="minorEastAsia" w:hAnsiTheme="minorEastAsia" w:eastAsiaTheme="minorEastAsia"/>
                <w:color w:val="auto"/>
                <w:sz w:val="24"/>
                <w:szCs w:val="24"/>
                <w:highlight w:val="none"/>
              </w:rPr>
              <w:t>：cgzb666@sina.com</w:t>
            </w:r>
            <w:r>
              <w:rPr>
                <w:rFonts w:asciiTheme="minorEastAsia" w:hAnsiTheme="minorEastAsia" w:eastAsiaTheme="minorEastAsia"/>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12.2</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bCs/>
                <w:color w:val="auto"/>
                <w:sz w:val="24"/>
                <w:szCs w:val="24"/>
                <w:highlight w:val="none"/>
              </w:rPr>
            </w:pPr>
            <w:r>
              <w:rPr>
                <w:rFonts w:hint="eastAsia" w:asciiTheme="minorEastAsia" w:hAnsiTheme="minorEastAsia"/>
                <w:bCs/>
                <w:color w:val="auto"/>
                <w:sz w:val="24"/>
                <w:szCs w:val="24"/>
                <w:highlight w:val="none"/>
              </w:rPr>
              <w:t>招标范围：改造施工，</w:t>
            </w:r>
            <w:r>
              <w:rPr>
                <w:rFonts w:hint="eastAsia"/>
                <w:color w:val="auto"/>
                <w:sz w:val="24"/>
                <w:szCs w:val="24"/>
                <w:highlight w:val="none"/>
              </w:rPr>
              <w:t>工程量清单范围内的所有内容。</w:t>
            </w:r>
          </w:p>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报价范围：应包含为完成本项目采购内容和采购范围、并满足</w:t>
            </w:r>
            <w:r>
              <w:rPr>
                <w:rFonts w:hint="eastAsia" w:asciiTheme="minorEastAsia" w:hAnsiTheme="minorEastAsia" w:eastAsiaTheme="minorEastAsia"/>
                <w:color w:val="auto"/>
                <w:sz w:val="24"/>
                <w:szCs w:val="24"/>
                <w:highlight w:val="none"/>
              </w:rPr>
              <w:t>技术需求书</w:t>
            </w:r>
            <w:r>
              <w:rPr>
                <w:rFonts w:asciiTheme="minorEastAsia" w:hAnsiTheme="minorEastAsia" w:eastAsiaTheme="minorEastAsia"/>
                <w:color w:val="auto"/>
                <w:sz w:val="24"/>
                <w:szCs w:val="24"/>
                <w:highlight w:val="none"/>
              </w:rPr>
              <w:t>要求验收合格所需要的全部费用，</w:t>
            </w:r>
            <w:r>
              <w:rPr>
                <w:rFonts w:hint="eastAsia" w:asciiTheme="minorEastAsia" w:hAnsiTheme="minorEastAsia" w:eastAsiaTheme="minorEastAsia"/>
                <w:color w:val="auto"/>
                <w:sz w:val="24"/>
                <w:szCs w:val="24"/>
                <w:highlight w:val="none"/>
              </w:rPr>
              <w:t>且</w:t>
            </w:r>
            <w:r>
              <w:rPr>
                <w:rFonts w:asciiTheme="minorEastAsia" w:hAnsiTheme="minorEastAsia" w:eastAsiaTheme="minorEastAsia"/>
                <w:color w:val="auto"/>
                <w:sz w:val="24"/>
                <w:szCs w:val="24"/>
                <w:highlight w:val="none"/>
              </w:rPr>
              <w:t>已包含增值税等</w:t>
            </w:r>
            <w:r>
              <w:rPr>
                <w:rFonts w:asciiTheme="minorEastAsia" w:hAnsiTheme="minorEastAsia" w:eastAsiaTheme="minorEastAsia"/>
                <w:color w:val="auto"/>
                <w:kern w:val="24"/>
                <w:sz w:val="24"/>
                <w:szCs w:val="24"/>
                <w:highlight w:val="none"/>
              </w:rPr>
              <w:t>各项税费</w:t>
            </w:r>
            <w:r>
              <w:rPr>
                <w:rFonts w:asciiTheme="minorEastAsia" w:hAnsiTheme="minorEastAsia" w:eastAsiaTheme="minorEastAsia"/>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3.1.6</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供应商资格要求：</w:t>
            </w:r>
            <w:r>
              <w:rPr>
                <w:rFonts w:hint="eastAsia"/>
                <w:color w:val="auto"/>
                <w:szCs w:val="24"/>
                <w:highlight w:val="none"/>
              </w:rPr>
              <w:t>供应商须为《</w:t>
            </w:r>
            <w:r>
              <w:rPr>
                <w:color w:val="auto"/>
                <w:szCs w:val="24"/>
                <w:highlight w:val="none"/>
              </w:rPr>
              <w:t>201</w:t>
            </w:r>
            <w:r>
              <w:rPr>
                <w:rFonts w:hint="eastAsia"/>
                <w:color w:val="auto"/>
                <w:szCs w:val="24"/>
                <w:highlight w:val="none"/>
              </w:rPr>
              <w:t>8</w:t>
            </w:r>
            <w:r>
              <w:rPr>
                <w:color w:val="auto"/>
                <w:szCs w:val="24"/>
                <w:highlight w:val="none"/>
              </w:rPr>
              <w:t>-20</w:t>
            </w:r>
            <w:r>
              <w:rPr>
                <w:rFonts w:hint="eastAsia"/>
                <w:color w:val="auto"/>
                <w:szCs w:val="24"/>
                <w:highlight w:val="none"/>
              </w:rPr>
              <w:t>20</w:t>
            </w:r>
            <w:r>
              <w:rPr>
                <w:color w:val="auto"/>
                <w:szCs w:val="24"/>
                <w:highlight w:val="none"/>
              </w:rPr>
              <w:t>年度中央国家机关工程定点施工企业名录</w:t>
            </w:r>
            <w:r>
              <w:rPr>
                <w:rFonts w:hint="eastAsia"/>
                <w:color w:val="auto"/>
                <w:szCs w:val="24"/>
                <w:highlight w:val="none"/>
              </w:rPr>
              <w:t>》内第一包房屋建筑工程施工总承包、或第二包建筑装饰装修工程的定点供应商；项目经理需在央采系统备案，且</w:t>
            </w:r>
            <w:r>
              <w:rPr>
                <w:rFonts w:hint="eastAsia"/>
                <w:b/>
                <w:color w:val="auto"/>
                <w:highlight w:val="none"/>
              </w:rPr>
              <w:t>具备建筑工程专业贰级（含）以上注册建造师执业资格，具备有效的安全生产考核合格证书（B本）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14</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磋商保证金</w:t>
            </w:r>
            <w:r>
              <w:rPr>
                <w:rFonts w:hint="eastAsia" w:asciiTheme="minorEastAsia" w:hAnsiTheme="minorEastAsia" w:eastAsiaTheme="minorEastAsia"/>
                <w:color w:val="auto"/>
                <w:sz w:val="24"/>
                <w:szCs w:val="24"/>
                <w:highlight w:val="none"/>
              </w:rPr>
              <w:t>:本项目不适用</w:t>
            </w:r>
            <w:r>
              <w:rPr>
                <w:rFonts w:asciiTheme="minorEastAsia" w:hAnsiTheme="minorEastAsia" w:eastAsiaTheme="minorEastAsia"/>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4"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15.1</w:t>
            </w:r>
          </w:p>
        </w:tc>
        <w:tc>
          <w:tcPr>
            <w:tcW w:w="8157" w:type="dxa"/>
            <w:tcBorders>
              <w:top w:val="single" w:color="auto" w:sz="4"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响应有效期：自首次响应文件提交截止之日起</w:t>
            </w:r>
            <w:r>
              <w:rPr>
                <w:rFonts w:asciiTheme="minorEastAsia" w:hAnsiTheme="minorEastAsia" w:eastAsiaTheme="minorEastAsia"/>
                <w:color w:val="auto"/>
                <w:sz w:val="24"/>
                <w:szCs w:val="24"/>
                <w:highlight w:val="none"/>
                <w:u w:val="single"/>
              </w:rPr>
              <w:t>90</w:t>
            </w:r>
            <w:r>
              <w:rPr>
                <w:rFonts w:asciiTheme="minorEastAsia" w:hAnsiTheme="minorEastAsia" w:eastAsiaTheme="minorEastAsia"/>
                <w:color w:val="auto"/>
                <w:sz w:val="24"/>
                <w:szCs w:val="24"/>
                <w:highlight w:val="none"/>
              </w:rPr>
              <w:t>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16.1</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响应文件的提交数量：正本一份，副本</w:t>
            </w:r>
            <w:r>
              <w:rPr>
                <w:rFonts w:hint="eastAsia" w:asciiTheme="minorEastAsia" w:hAnsiTheme="minorEastAsia" w:eastAsiaTheme="minorEastAsia"/>
                <w:color w:val="auto"/>
                <w:sz w:val="24"/>
                <w:szCs w:val="24"/>
                <w:highlight w:val="none"/>
              </w:rPr>
              <w:t>二</w:t>
            </w:r>
            <w:r>
              <w:rPr>
                <w:rFonts w:asciiTheme="minorEastAsia" w:hAnsiTheme="minorEastAsia" w:eastAsiaTheme="minorEastAsia"/>
                <w:color w:val="auto"/>
                <w:sz w:val="24"/>
                <w:szCs w:val="24"/>
                <w:highlight w:val="none"/>
              </w:rPr>
              <w:t>份，电子文档（U盘）一份。</w:t>
            </w:r>
            <w:r>
              <w:rPr>
                <w:rFonts w:hint="eastAsia" w:asciiTheme="minorEastAsia" w:hAnsiTheme="minorEastAsia" w:eastAsiaTheme="minorEastAsia"/>
                <w:color w:val="auto"/>
                <w:sz w:val="24"/>
                <w:szCs w:val="24"/>
                <w:highlight w:val="none"/>
              </w:rPr>
              <w:t>响应文件分包递交。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18.1</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首次响应文件提交截止时间和地点</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见</w:t>
            </w:r>
            <w:r>
              <w:rPr>
                <w:rFonts w:hint="eastAsia" w:asciiTheme="minorEastAsia" w:hAnsiTheme="minorEastAsia" w:eastAsiaTheme="minorEastAsia"/>
                <w:color w:val="auto"/>
                <w:sz w:val="24"/>
                <w:szCs w:val="24"/>
                <w:highlight w:val="none"/>
              </w:rPr>
              <w:t>采购邀请</w:t>
            </w:r>
            <w:r>
              <w:rPr>
                <w:rFonts w:asciiTheme="minorEastAsia" w:hAnsiTheme="minorEastAsia" w:eastAsiaTheme="minorEastAsia"/>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32</w:t>
            </w:r>
          </w:p>
        </w:tc>
        <w:tc>
          <w:tcPr>
            <w:tcW w:w="8157" w:type="dxa"/>
            <w:tcBorders>
              <w:top w:val="single" w:color="auto" w:sz="6" w:space="0"/>
              <w:left w:val="single" w:color="auto" w:sz="6" w:space="0"/>
              <w:bottom w:val="single" w:color="auto" w:sz="6" w:space="0"/>
              <w:right w:val="single" w:color="auto" w:sz="6" w:space="0"/>
            </w:tcBorders>
            <w:vAlign w:val="center"/>
          </w:tcPr>
          <w:p>
            <w:pPr>
              <w:pStyle w:val="145"/>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履约保证金金额：不适用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59" w:type="dxa"/>
            <w:tcBorders>
              <w:top w:val="single" w:color="auto" w:sz="6" w:space="0"/>
              <w:left w:val="single" w:color="auto" w:sz="6" w:space="0"/>
              <w:bottom w:val="single" w:color="auto" w:sz="6" w:space="0"/>
              <w:right w:val="single" w:color="auto" w:sz="4" w:space="0"/>
            </w:tcBorders>
            <w:vAlign w:val="center"/>
          </w:tcPr>
          <w:p>
            <w:pPr>
              <w:pStyle w:val="145"/>
              <w:rPr>
                <w:rFonts w:asciiTheme="minorEastAsia" w:hAnsiTheme="minorEastAsia" w:eastAsiaTheme="minorEastAsia"/>
                <w:color w:val="auto"/>
                <w:sz w:val="24"/>
                <w:szCs w:val="24"/>
                <w:highlight w:val="none"/>
              </w:rPr>
            </w:pPr>
            <w:bookmarkStart w:id="13" w:name="_Toc86202581"/>
            <w:r>
              <w:rPr>
                <w:rFonts w:hint="eastAsia" w:asciiTheme="minorEastAsia" w:hAnsiTheme="minorEastAsia" w:eastAsiaTheme="minorEastAsia"/>
                <w:color w:val="auto"/>
                <w:sz w:val="24"/>
                <w:szCs w:val="24"/>
                <w:highlight w:val="none"/>
              </w:rPr>
              <w:t>增补条款</w:t>
            </w:r>
          </w:p>
        </w:tc>
        <w:tc>
          <w:tcPr>
            <w:tcW w:w="8157" w:type="dxa"/>
            <w:tcBorders>
              <w:top w:val="single" w:color="auto" w:sz="6" w:space="0"/>
              <w:left w:val="single" w:color="auto" w:sz="6" w:space="0"/>
              <w:bottom w:val="single" w:color="auto" w:sz="6" w:space="0"/>
              <w:right w:val="single" w:color="auto" w:sz="6" w:space="0"/>
            </w:tcBorders>
            <w:vAlign w:val="center"/>
          </w:tcPr>
          <w:p>
            <w:pPr>
              <w:pStyle w:val="1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北京校区：</w:t>
            </w:r>
          </w:p>
          <w:p>
            <w:pPr>
              <w:pStyle w:val="1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踏勘时间：</w:t>
            </w:r>
            <w:r>
              <w:rPr>
                <w:rFonts w:hint="eastAsia" w:asciiTheme="minorEastAsia" w:hAnsiTheme="minorEastAsia" w:eastAsiaTheme="minorEastAsia"/>
                <w:color w:val="auto"/>
                <w:sz w:val="24"/>
                <w:szCs w:val="24"/>
                <w:highlight w:val="none"/>
              </w:rPr>
              <w:t>2019年10月17日09点00分</w:t>
            </w:r>
          </w:p>
          <w:p>
            <w:pPr>
              <w:pStyle w:val="18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集合地点：北京市海淀区增光路45号中国劳动关系学院</w:t>
            </w:r>
            <w:r>
              <w:rPr>
                <w:rFonts w:hint="eastAsia" w:asciiTheme="minorEastAsia" w:hAnsiTheme="minorEastAsia" w:eastAsiaTheme="minorEastAsia"/>
                <w:color w:val="auto"/>
                <w:sz w:val="24"/>
                <w:szCs w:val="24"/>
                <w:highlight w:val="none"/>
              </w:rPr>
              <w:t>致远楼北门</w:t>
            </w:r>
          </w:p>
          <w:p>
            <w:pPr>
              <w:shd w:val="clear" w:color="auto" w:fill="FFFFFF"/>
              <w:spacing w:line="240" w:lineRule="auto"/>
              <w:ind w:firstLine="0" w:firstLineChars="0"/>
              <w:rPr>
                <w:rFonts w:cs="宋体" w:asciiTheme="minorEastAsia" w:hAnsiTheme="minorEastAsia"/>
                <w:color w:val="auto"/>
                <w:szCs w:val="24"/>
                <w:highlight w:val="none"/>
              </w:rPr>
            </w:pPr>
          </w:p>
          <w:p>
            <w:pPr>
              <w:shd w:val="clear" w:color="auto" w:fill="FFFFFF"/>
              <w:spacing w:line="240" w:lineRule="auto"/>
              <w:ind w:firstLine="0" w:firstLineChars="0"/>
              <w:rPr>
                <w:rFonts w:ascii="宋体" w:hAnsi="宋体" w:cs="宋体"/>
                <w:color w:val="auto"/>
                <w:szCs w:val="24"/>
                <w:highlight w:val="none"/>
              </w:rPr>
            </w:pPr>
            <w:r>
              <w:rPr>
                <w:rFonts w:hint="eastAsia" w:cs="宋体" w:asciiTheme="minorEastAsia" w:hAnsiTheme="minorEastAsia"/>
                <w:color w:val="auto"/>
                <w:szCs w:val="24"/>
                <w:highlight w:val="none"/>
              </w:rPr>
              <w:t>特别提醒：</w:t>
            </w:r>
            <w:r>
              <w:rPr>
                <w:rFonts w:hint="eastAsia" w:ascii="宋体" w:hAnsi="宋体" w:cs="宋体"/>
                <w:color w:val="auto"/>
                <w:szCs w:val="24"/>
                <w:highlight w:val="none"/>
              </w:rPr>
              <w:t>已报名的供应商务必按时到达集合地点参与学院统一踏勘，学院不再另外组织踏勘，未参与踏勘的投标供应商将视为对现场情况已充分了解。</w:t>
            </w:r>
          </w:p>
          <w:p>
            <w:pPr>
              <w:shd w:val="clear" w:color="auto" w:fill="FFFFFF"/>
              <w:spacing w:line="240" w:lineRule="auto"/>
              <w:ind w:firstLine="0" w:firstLineChars="0"/>
              <w:rPr>
                <w:rFonts w:ascii="宋体" w:hAnsi="宋体" w:cs="宋体"/>
                <w:color w:val="auto"/>
                <w:szCs w:val="24"/>
                <w:highlight w:val="none"/>
              </w:rPr>
            </w:pPr>
          </w:p>
          <w:p>
            <w:pPr>
              <w:shd w:val="clear" w:color="auto" w:fill="FFFFFF"/>
              <w:spacing w:line="240" w:lineRule="auto"/>
              <w:ind w:firstLine="0" w:firstLineChars="0"/>
              <w:rPr>
                <w:rFonts w:asciiTheme="minorEastAsia" w:hAnsiTheme="minorEastAsia" w:eastAsiaTheme="minorEastAsia"/>
                <w:color w:val="auto"/>
                <w:szCs w:val="24"/>
                <w:highlight w:val="none"/>
              </w:rPr>
            </w:pPr>
            <w:r>
              <w:rPr>
                <w:rFonts w:hint="eastAsia" w:ascii="宋体" w:hAnsi="宋体" w:cs="宋体"/>
                <w:b/>
                <w:color w:val="auto"/>
                <w:szCs w:val="24"/>
                <w:highlight w:val="none"/>
              </w:rPr>
              <w:t>本项目要求本项目施工项目经理应到场进行响应谈判。</w:t>
            </w:r>
          </w:p>
        </w:tc>
      </w:tr>
    </w:tbl>
    <w:p>
      <w:pPr>
        <w:pStyle w:val="155"/>
        <w:rPr>
          <w:rFonts w:ascii="Times New Roman" w:hAnsi="Times New Roman"/>
          <w:color w:val="auto"/>
          <w:highlight w:val="none"/>
        </w:rPr>
      </w:pPr>
      <w:r>
        <w:rPr>
          <w:rFonts w:ascii="Times New Roman" w:hAnsi="Times New Roman"/>
          <w:color w:val="auto"/>
          <w:highlight w:val="none"/>
        </w:rPr>
        <w:br w:type="page"/>
      </w:r>
      <w:bookmarkStart w:id="14" w:name="_Toc235518467"/>
      <w:bookmarkStart w:id="15" w:name="_Toc265738861"/>
      <w:bookmarkStart w:id="16" w:name="_Toc239740352"/>
      <w:bookmarkStart w:id="17" w:name="_Toc232395213"/>
      <w:bookmarkStart w:id="18" w:name="_Toc232176273"/>
      <w:bookmarkStart w:id="19" w:name="_Toc230013633"/>
      <w:bookmarkStart w:id="20" w:name="_Toc230583542"/>
      <w:bookmarkStart w:id="21" w:name="_Toc230099798"/>
      <w:bookmarkStart w:id="22" w:name="_Toc184043013"/>
      <w:bookmarkStart w:id="23" w:name="_Toc177817335"/>
      <w:bookmarkStart w:id="24" w:name="_Toc176882543"/>
      <w:bookmarkStart w:id="25" w:name="_Toc177189236"/>
      <w:bookmarkStart w:id="26" w:name="_Toc177995474"/>
      <w:bookmarkStart w:id="27" w:name="_Toc70687140"/>
      <w:bookmarkStart w:id="28" w:name="_Toc53722841"/>
      <w:bookmarkStart w:id="29" w:name="_Toc86202582"/>
      <w:bookmarkStart w:id="30" w:name="_Toc241827236"/>
      <w:r>
        <w:rPr>
          <w:rFonts w:ascii="Times New Roman"/>
          <w:color w:val="auto"/>
          <w:highlight w:val="none"/>
        </w:rPr>
        <w:t>供应商须知</w:t>
      </w:r>
    </w:p>
    <w:p>
      <w:pPr>
        <w:pStyle w:val="157"/>
        <w:spacing w:before="120" w:after="120"/>
        <w:rPr>
          <w:color w:val="auto"/>
          <w:highlight w:val="none"/>
        </w:rPr>
      </w:pPr>
      <w:r>
        <w:rPr>
          <w:color w:val="auto"/>
          <w:highlight w:val="none"/>
        </w:rPr>
        <w:t>一、总则</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rPr>
          <w:color w:val="auto"/>
          <w:highlight w:val="none"/>
        </w:rPr>
      </w:pPr>
      <w:bookmarkStart w:id="31" w:name="_Hlt14560612"/>
      <w:bookmarkEnd w:id="31"/>
      <w:bookmarkStart w:id="32" w:name="_Toc184043014"/>
      <w:r>
        <w:rPr>
          <w:color w:val="auto"/>
          <w:highlight w:val="none"/>
        </w:rPr>
        <w:t>1. 项目说明</w:t>
      </w:r>
      <w:bookmarkEnd w:id="32"/>
    </w:p>
    <w:p>
      <w:pPr>
        <w:rPr>
          <w:color w:val="auto"/>
          <w:kern w:val="24"/>
          <w:highlight w:val="none"/>
        </w:rPr>
      </w:pPr>
      <w:r>
        <w:rPr>
          <w:color w:val="auto"/>
          <w:kern w:val="24"/>
          <w:highlight w:val="none"/>
        </w:rPr>
        <w:t>1.1项目说明见供应商须知前附表。</w:t>
      </w:r>
    </w:p>
    <w:p>
      <w:pPr>
        <w:rPr>
          <w:color w:val="auto"/>
          <w:highlight w:val="none"/>
        </w:rPr>
      </w:pPr>
      <w:bookmarkStart w:id="33" w:name="_Toc70687142"/>
      <w:bookmarkStart w:id="34" w:name="_Toc184043015"/>
      <w:r>
        <w:rPr>
          <w:color w:val="auto"/>
          <w:highlight w:val="none"/>
        </w:rPr>
        <w:t xml:space="preserve">2. </w:t>
      </w:r>
      <w:bookmarkEnd w:id="33"/>
      <w:bookmarkEnd w:id="34"/>
      <w:r>
        <w:rPr>
          <w:color w:val="auto"/>
          <w:highlight w:val="none"/>
        </w:rPr>
        <w:t>定义</w:t>
      </w:r>
    </w:p>
    <w:p>
      <w:pPr>
        <w:rPr>
          <w:color w:val="auto"/>
          <w:highlight w:val="none"/>
        </w:rPr>
      </w:pPr>
      <w:r>
        <w:rPr>
          <w:color w:val="auto"/>
          <w:highlight w:val="none"/>
        </w:rPr>
        <w:t>2.1 “采购人”</w:t>
      </w:r>
      <w:r>
        <w:rPr>
          <w:color w:val="auto"/>
          <w:kern w:val="24"/>
          <w:highlight w:val="none"/>
        </w:rPr>
        <w:t>见供应商须知前附表</w:t>
      </w:r>
      <w:r>
        <w:rPr>
          <w:color w:val="auto"/>
          <w:highlight w:val="none"/>
        </w:rPr>
        <w:t>。</w:t>
      </w:r>
    </w:p>
    <w:p>
      <w:pPr>
        <w:rPr>
          <w:color w:val="auto"/>
          <w:highlight w:val="none"/>
        </w:rPr>
      </w:pPr>
      <w:r>
        <w:rPr>
          <w:color w:val="auto"/>
          <w:highlight w:val="none"/>
        </w:rPr>
        <w:t>2.</w:t>
      </w:r>
      <w:r>
        <w:rPr>
          <w:rFonts w:hint="eastAsia"/>
          <w:color w:val="auto"/>
          <w:highlight w:val="none"/>
        </w:rPr>
        <w:t>2</w:t>
      </w:r>
      <w:r>
        <w:rPr>
          <w:color w:val="auto"/>
          <w:highlight w:val="none"/>
        </w:rPr>
        <w:t xml:space="preserve"> “供应商”系指响应采购人要求，向采购人提交响应文件的单位。</w:t>
      </w:r>
    </w:p>
    <w:p>
      <w:pPr>
        <w:rPr>
          <w:color w:val="auto"/>
          <w:highlight w:val="none"/>
        </w:rPr>
      </w:pPr>
      <w:r>
        <w:rPr>
          <w:color w:val="auto"/>
          <w:highlight w:val="none"/>
        </w:rPr>
        <w:t>2.</w:t>
      </w:r>
      <w:r>
        <w:rPr>
          <w:rFonts w:hint="eastAsia"/>
          <w:color w:val="auto"/>
          <w:highlight w:val="none"/>
        </w:rPr>
        <w:t>3</w:t>
      </w:r>
      <w:r>
        <w:rPr>
          <w:color w:val="auto"/>
          <w:highlight w:val="none"/>
        </w:rPr>
        <w:t>“货物”或“服务”系指成交供应商按磋商采购文件规定向采购人提供的一切货物或服务。</w:t>
      </w:r>
    </w:p>
    <w:p>
      <w:pPr>
        <w:rPr>
          <w:color w:val="auto"/>
          <w:highlight w:val="none"/>
        </w:rPr>
      </w:pPr>
      <w:bookmarkStart w:id="35" w:name="_Toc385992329"/>
      <w:bookmarkStart w:id="36" w:name="_Toc184043016"/>
      <w:bookmarkStart w:id="37" w:name="_Toc70687143"/>
      <w:bookmarkStart w:id="38" w:name="_Toc389620168"/>
      <w:r>
        <w:rPr>
          <w:color w:val="auto"/>
          <w:highlight w:val="none"/>
        </w:rPr>
        <w:t>3. 合格供应商</w:t>
      </w:r>
      <w:bookmarkEnd w:id="35"/>
      <w:bookmarkEnd w:id="36"/>
      <w:bookmarkEnd w:id="37"/>
      <w:bookmarkEnd w:id="38"/>
    </w:p>
    <w:p>
      <w:pPr>
        <w:rPr>
          <w:color w:val="auto"/>
          <w:kern w:val="24"/>
          <w:highlight w:val="none"/>
        </w:rPr>
      </w:pPr>
      <w:r>
        <w:rPr>
          <w:color w:val="auto"/>
          <w:kern w:val="24"/>
          <w:highlight w:val="none"/>
        </w:rPr>
        <w:t>3.1</w:t>
      </w:r>
      <w:r>
        <w:rPr>
          <w:color w:val="auto"/>
          <w:highlight w:val="none"/>
        </w:rPr>
        <w:t>满足以下</w:t>
      </w:r>
      <w:r>
        <w:rPr>
          <w:rFonts w:hint="eastAsia"/>
          <w:color w:val="auto"/>
          <w:highlight w:val="none"/>
        </w:rPr>
        <w:t>条件</w:t>
      </w:r>
      <w:r>
        <w:rPr>
          <w:color w:val="auto"/>
          <w:highlight w:val="none"/>
        </w:rPr>
        <w:t>的</w:t>
      </w:r>
      <w:r>
        <w:rPr>
          <w:rFonts w:hint="eastAsia"/>
          <w:color w:val="auto"/>
          <w:highlight w:val="none"/>
        </w:rPr>
        <w:t>供应商</w:t>
      </w:r>
      <w:r>
        <w:rPr>
          <w:color w:val="auto"/>
          <w:highlight w:val="none"/>
        </w:rPr>
        <w:t>是合格的</w:t>
      </w:r>
      <w:r>
        <w:rPr>
          <w:rFonts w:hint="eastAsia"/>
          <w:color w:val="auto"/>
          <w:highlight w:val="none"/>
        </w:rPr>
        <w:t>供应商</w:t>
      </w:r>
      <w:r>
        <w:rPr>
          <w:color w:val="auto"/>
          <w:highlight w:val="none"/>
        </w:rPr>
        <w:t>：</w:t>
      </w:r>
    </w:p>
    <w:p>
      <w:pPr>
        <w:ind w:firstLineChars="0"/>
        <w:rPr>
          <w:color w:val="auto"/>
          <w:kern w:val="24"/>
          <w:highlight w:val="none"/>
        </w:rPr>
      </w:pPr>
      <w:r>
        <w:rPr>
          <w:rFonts w:hint="eastAsia"/>
          <w:color w:val="auto"/>
          <w:kern w:val="24"/>
          <w:highlight w:val="none"/>
        </w:rPr>
        <w:t>3.1.1符合</w:t>
      </w:r>
      <w:r>
        <w:rPr>
          <w:color w:val="auto"/>
          <w:kern w:val="24"/>
          <w:highlight w:val="none"/>
        </w:rPr>
        <w:t>采购公告</w:t>
      </w:r>
      <w:r>
        <w:rPr>
          <w:rFonts w:hint="eastAsia"/>
          <w:color w:val="auto"/>
          <w:kern w:val="24"/>
          <w:highlight w:val="none"/>
        </w:rPr>
        <w:t>中的供应商资格要求</w:t>
      </w:r>
      <w:r>
        <w:rPr>
          <w:color w:val="auto"/>
          <w:kern w:val="24"/>
          <w:highlight w:val="none"/>
        </w:rPr>
        <w:t>。</w:t>
      </w:r>
    </w:p>
    <w:p>
      <w:pPr>
        <w:ind w:firstLineChars="0"/>
        <w:rPr>
          <w:color w:val="auto"/>
          <w:kern w:val="24"/>
          <w:highlight w:val="none"/>
        </w:rPr>
      </w:pPr>
      <w:r>
        <w:rPr>
          <w:rFonts w:hint="eastAsia"/>
          <w:color w:val="auto"/>
          <w:kern w:val="24"/>
          <w:highlight w:val="none"/>
        </w:rPr>
        <w:t>3.1.2单位负责人为同一人或者存在直接控股、管理关系的不同供应商，不得参加同一合同项下的政府采购活动。</w:t>
      </w:r>
    </w:p>
    <w:p>
      <w:pPr>
        <w:ind w:firstLineChars="0"/>
        <w:rPr>
          <w:color w:val="auto"/>
          <w:kern w:val="24"/>
          <w:highlight w:val="none"/>
        </w:rPr>
      </w:pPr>
      <w:r>
        <w:rPr>
          <w:rFonts w:hint="eastAsia"/>
          <w:color w:val="auto"/>
          <w:kern w:val="24"/>
          <w:highlight w:val="none"/>
        </w:rPr>
        <w:t>3.1.3</w:t>
      </w:r>
      <w:r>
        <w:rPr>
          <w:color w:val="auto"/>
          <w:kern w:val="24"/>
          <w:highlight w:val="none"/>
        </w:rPr>
        <w:t>除单一来源采购项目外，</w:t>
      </w:r>
      <w:r>
        <w:rPr>
          <w:rFonts w:hint="eastAsia"/>
          <w:color w:val="auto"/>
          <w:kern w:val="24"/>
          <w:highlight w:val="none"/>
        </w:rPr>
        <w:t>为采购项目提供整体设计、规范编制或者项目管理、监理、检测等服务的供应商，不得再参加该采购项目的其他采购活动。</w:t>
      </w:r>
    </w:p>
    <w:p>
      <w:pPr>
        <w:ind w:firstLineChars="0"/>
        <w:rPr>
          <w:color w:val="auto"/>
          <w:kern w:val="24"/>
          <w:highlight w:val="none"/>
        </w:rPr>
      </w:pPr>
      <w:r>
        <w:rPr>
          <w:rFonts w:hint="eastAsia"/>
          <w:color w:val="auto"/>
          <w:kern w:val="24"/>
          <w:highlight w:val="none"/>
        </w:rPr>
        <w:t>3.1.4所报产品应符合国家有关部门规定的相应技术、节能、安全和环保标准；国家有关部门对供应商的所报产品有强制性规定或要求的（如安全、节能等），供应商的所报产品必须符合相应规定或要求。</w:t>
      </w:r>
    </w:p>
    <w:p>
      <w:pPr>
        <w:ind w:firstLineChars="0"/>
        <w:rPr>
          <w:color w:val="auto"/>
          <w:kern w:val="24"/>
          <w:highlight w:val="none"/>
        </w:rPr>
      </w:pPr>
      <w:r>
        <w:rPr>
          <w:rFonts w:hint="eastAsia"/>
          <w:color w:val="auto"/>
          <w:kern w:val="24"/>
          <w:highlight w:val="none"/>
        </w:rPr>
        <w:t>3.1.5本项目不接受联合体投标。</w:t>
      </w:r>
    </w:p>
    <w:p>
      <w:pPr>
        <w:ind w:firstLineChars="0"/>
        <w:rPr>
          <w:color w:val="auto"/>
          <w:kern w:val="24"/>
          <w:highlight w:val="none"/>
        </w:rPr>
      </w:pPr>
      <w:r>
        <w:rPr>
          <w:rFonts w:hint="eastAsia"/>
          <w:color w:val="auto"/>
          <w:szCs w:val="24"/>
          <w:highlight w:val="none"/>
        </w:rPr>
        <w:t>3.1.6 供应商须为《</w:t>
      </w:r>
      <w:r>
        <w:rPr>
          <w:color w:val="auto"/>
          <w:szCs w:val="24"/>
          <w:highlight w:val="none"/>
        </w:rPr>
        <w:t>201</w:t>
      </w:r>
      <w:r>
        <w:rPr>
          <w:rFonts w:hint="eastAsia"/>
          <w:color w:val="auto"/>
          <w:szCs w:val="24"/>
          <w:highlight w:val="none"/>
        </w:rPr>
        <w:t>8</w:t>
      </w:r>
      <w:r>
        <w:rPr>
          <w:color w:val="auto"/>
          <w:szCs w:val="24"/>
          <w:highlight w:val="none"/>
        </w:rPr>
        <w:t>-20</w:t>
      </w:r>
      <w:r>
        <w:rPr>
          <w:rFonts w:hint="eastAsia"/>
          <w:color w:val="auto"/>
          <w:szCs w:val="24"/>
          <w:highlight w:val="none"/>
        </w:rPr>
        <w:t>20</w:t>
      </w:r>
      <w:r>
        <w:rPr>
          <w:color w:val="auto"/>
          <w:szCs w:val="24"/>
          <w:highlight w:val="none"/>
        </w:rPr>
        <w:t>年度中央国家机关工程定点施工企业名录</w:t>
      </w:r>
      <w:r>
        <w:rPr>
          <w:rFonts w:hint="eastAsia"/>
          <w:color w:val="auto"/>
          <w:szCs w:val="24"/>
          <w:highlight w:val="none"/>
        </w:rPr>
        <w:t>》内第一包房屋建筑工程施工总承包、或第二包建筑装饰装修工程的定点供应商；项目经理需在央采系统备案，且</w:t>
      </w:r>
      <w:r>
        <w:rPr>
          <w:rFonts w:hint="eastAsia"/>
          <w:b/>
          <w:color w:val="auto"/>
          <w:highlight w:val="none"/>
        </w:rPr>
        <w:t>具备建筑工程专业贰级（含）以上注册建造师执业资格，具备有效的安全生产考核合格证书（B本）</w:t>
      </w:r>
    </w:p>
    <w:p>
      <w:pPr>
        <w:rPr>
          <w:color w:val="auto"/>
          <w:kern w:val="24"/>
          <w:highlight w:val="none"/>
        </w:rPr>
      </w:pPr>
      <w:r>
        <w:rPr>
          <w:rFonts w:hint="eastAsia"/>
          <w:color w:val="auto"/>
          <w:kern w:val="24"/>
          <w:highlight w:val="none"/>
        </w:rPr>
        <w:t>3.2本项目将执行在政府采购活动中查询及使用信用记录的规定，具体要求为：</w:t>
      </w:r>
    </w:p>
    <w:p>
      <w:pPr>
        <w:rPr>
          <w:color w:val="auto"/>
          <w:kern w:val="24"/>
          <w:highlight w:val="none"/>
        </w:rPr>
      </w:pPr>
      <w:r>
        <w:rPr>
          <w:rFonts w:hint="eastAsia"/>
          <w:color w:val="auto"/>
          <w:kern w:val="24"/>
          <w:highlight w:val="none"/>
        </w:rPr>
        <w:t>3.2.1供应商应当未被列入失信被执行人、重大税收违法案件当事人名单、政府采购严重违法失信行为记录名单，否则不得参与政府采购活动（联合体形式投标的，联合体成员存在不良信用记录的，视同联合体存在不良信用记录）。</w:t>
      </w:r>
    </w:p>
    <w:p>
      <w:pPr>
        <w:rPr>
          <w:color w:val="auto"/>
          <w:kern w:val="24"/>
          <w:highlight w:val="none"/>
        </w:rPr>
      </w:pPr>
      <w:r>
        <w:rPr>
          <w:rFonts w:hint="eastAsia"/>
          <w:color w:val="auto"/>
          <w:kern w:val="24"/>
          <w:highlight w:val="none"/>
        </w:rPr>
        <w:t>3.2.2信用信息查询的截止时点：</w:t>
      </w:r>
      <w:r>
        <w:rPr>
          <w:color w:val="auto"/>
          <w:highlight w:val="none"/>
        </w:rPr>
        <w:t>首次响应文件提交截止时间</w:t>
      </w:r>
      <w:r>
        <w:rPr>
          <w:rFonts w:hint="eastAsia"/>
          <w:color w:val="auto"/>
          <w:kern w:val="24"/>
          <w:highlight w:val="none"/>
        </w:rPr>
        <w:t>。</w:t>
      </w:r>
    </w:p>
    <w:p>
      <w:pPr>
        <w:rPr>
          <w:color w:val="auto"/>
          <w:kern w:val="24"/>
          <w:highlight w:val="none"/>
        </w:rPr>
      </w:pPr>
      <w:r>
        <w:rPr>
          <w:rFonts w:hint="eastAsia"/>
          <w:color w:val="auto"/>
          <w:kern w:val="24"/>
          <w:highlight w:val="none"/>
        </w:rPr>
        <w:t>3.2.3查询渠道：“信用中国”网站（www.creditchina.gov.cn）和中国政府采购网（www.ccgp.gov.cn）；</w:t>
      </w:r>
    </w:p>
    <w:p>
      <w:pPr>
        <w:rPr>
          <w:color w:val="auto"/>
          <w:kern w:val="24"/>
          <w:highlight w:val="none"/>
        </w:rPr>
      </w:pPr>
      <w:r>
        <w:rPr>
          <w:rFonts w:hint="eastAsia"/>
          <w:color w:val="auto"/>
          <w:kern w:val="24"/>
          <w:highlight w:val="none"/>
        </w:rPr>
        <w:t>3.2.4信用信息查询记录和证据留存具体方式：将经查询存在不良信用记录的潜在供应商的查询结果网页截图作为查询记录和证据，与其他采购文件一并保存；</w:t>
      </w:r>
    </w:p>
    <w:p>
      <w:pPr>
        <w:rPr>
          <w:color w:val="auto"/>
          <w:kern w:val="24"/>
          <w:highlight w:val="none"/>
        </w:rPr>
      </w:pPr>
      <w:r>
        <w:rPr>
          <w:rFonts w:hint="eastAsia"/>
          <w:color w:val="auto"/>
          <w:kern w:val="24"/>
          <w:highlight w:val="none"/>
        </w:rPr>
        <w:t>3.2.5信用信息的使用规则：1）在信用信息查询的截止时点之前，采购人若发现存在不良信用记录的潜在供应商报名参与本项目政府采购活动的，将依据信用信息查询记录拒绝其参与；</w:t>
      </w:r>
      <w:r>
        <w:rPr>
          <w:color w:val="auto"/>
          <w:kern w:val="24"/>
          <w:highlight w:val="none"/>
        </w:rPr>
        <w:t>2</w:t>
      </w:r>
      <w:r>
        <w:rPr>
          <w:rFonts w:hint="eastAsia"/>
          <w:color w:val="auto"/>
          <w:kern w:val="24"/>
          <w:highlight w:val="none"/>
        </w:rPr>
        <w:t>）在信用信息查询的截止时点之后，采购人若发现参与本项目政府采购活动的供应商在截止时点（含）之前存在不良信用记录的，将信用信息查询记录提交给评标委员会作无效响应进行处理。</w:t>
      </w:r>
    </w:p>
    <w:p>
      <w:pPr>
        <w:rPr>
          <w:color w:val="auto"/>
          <w:kern w:val="24"/>
          <w:highlight w:val="none"/>
        </w:rPr>
      </w:pPr>
      <w:r>
        <w:rPr>
          <w:color w:val="auto"/>
          <w:kern w:val="24"/>
          <w:highlight w:val="none"/>
        </w:rPr>
        <w:t>3.</w:t>
      </w:r>
      <w:r>
        <w:rPr>
          <w:rFonts w:hint="eastAsia"/>
          <w:color w:val="auto"/>
          <w:kern w:val="24"/>
          <w:highlight w:val="none"/>
        </w:rPr>
        <w:t>3</w:t>
      </w:r>
      <w:r>
        <w:rPr>
          <w:color w:val="auto"/>
          <w:kern w:val="24"/>
          <w:highlight w:val="none"/>
        </w:rPr>
        <w:t>供应商还应遵守《中华人民共和国政府采购法》、《中华人民共和国政府采购法实施条例》及其它有关的中国法律和法规。</w:t>
      </w:r>
    </w:p>
    <w:p>
      <w:pPr>
        <w:rPr>
          <w:color w:val="auto"/>
          <w:highlight w:val="none"/>
        </w:rPr>
      </w:pPr>
      <w:bookmarkStart w:id="39" w:name="_Toc184043017"/>
      <w:bookmarkStart w:id="40" w:name="_Toc389620169"/>
      <w:bookmarkStart w:id="41" w:name="_Toc70687144"/>
      <w:bookmarkStart w:id="42" w:name="_Toc385992330"/>
      <w:r>
        <w:rPr>
          <w:color w:val="auto"/>
          <w:highlight w:val="none"/>
        </w:rPr>
        <w:t>4. 响应费用</w:t>
      </w:r>
      <w:bookmarkEnd w:id="39"/>
      <w:bookmarkEnd w:id="40"/>
      <w:bookmarkEnd w:id="41"/>
      <w:bookmarkEnd w:id="42"/>
    </w:p>
    <w:p>
      <w:pPr>
        <w:rPr>
          <w:color w:val="auto"/>
          <w:kern w:val="24"/>
          <w:highlight w:val="none"/>
        </w:rPr>
      </w:pPr>
      <w:r>
        <w:rPr>
          <w:color w:val="auto"/>
          <w:kern w:val="24"/>
          <w:highlight w:val="none"/>
        </w:rPr>
        <w:t>4.1供应商应承担所有与编写和提交响应文件有关的费用，无论磋商过程和结果如何，采购人在任何情况下均无义务和责任承担这些费用。</w:t>
      </w:r>
    </w:p>
    <w:p>
      <w:pPr>
        <w:rPr>
          <w:color w:val="auto"/>
          <w:highlight w:val="none"/>
        </w:rPr>
      </w:pPr>
      <w:bookmarkStart w:id="43" w:name="_Toc235518468"/>
      <w:bookmarkStart w:id="44" w:name="_Toc500747064"/>
      <w:bookmarkStart w:id="45" w:name="_Toc177817336"/>
      <w:bookmarkStart w:id="46" w:name="_Toc176882544"/>
      <w:bookmarkStart w:id="47" w:name="_Toc499711045"/>
      <w:bookmarkStart w:id="48" w:name="_Toc70687145"/>
      <w:bookmarkStart w:id="49" w:name="_Toc53722842"/>
      <w:bookmarkStart w:id="50" w:name="_Toc500747191"/>
      <w:bookmarkStart w:id="51" w:name="_Toc499711886"/>
      <w:bookmarkStart w:id="52" w:name="_Toc385992331"/>
      <w:bookmarkStart w:id="53" w:name="_Toc500746968"/>
      <w:bookmarkStart w:id="54" w:name="_Toc496324581"/>
      <w:bookmarkStart w:id="55" w:name="_Toc492955417"/>
      <w:bookmarkStart w:id="56" w:name="_Toc389620170"/>
      <w:bookmarkStart w:id="57" w:name="_Toc177189237"/>
      <w:bookmarkStart w:id="58" w:name="_Toc503063424"/>
      <w:bookmarkStart w:id="59" w:name="_Toc265738862"/>
      <w:bookmarkStart w:id="60" w:name="_Toc239740353"/>
      <w:bookmarkStart w:id="61" w:name="_Toc232395214"/>
      <w:bookmarkStart w:id="62" w:name="_Toc232176274"/>
      <w:bookmarkStart w:id="63" w:name="_Toc230583543"/>
      <w:bookmarkStart w:id="64" w:name="_Toc230099799"/>
      <w:bookmarkStart w:id="65" w:name="_Toc230013634"/>
      <w:bookmarkStart w:id="66" w:name="_Toc184043018"/>
      <w:bookmarkStart w:id="67" w:name="_Toc177995475"/>
      <w:r>
        <w:rPr>
          <w:color w:val="auto"/>
          <w:highlight w:val="none"/>
        </w:rPr>
        <w:t>5. 通知</w:t>
      </w:r>
    </w:p>
    <w:p>
      <w:pPr>
        <w:rPr>
          <w:color w:val="auto"/>
          <w:highlight w:val="none"/>
        </w:rPr>
      </w:pPr>
      <w:r>
        <w:rPr>
          <w:color w:val="auto"/>
          <w:kern w:val="24"/>
          <w:szCs w:val="21"/>
          <w:highlight w:val="none"/>
        </w:rPr>
        <w:t>5.1</w:t>
      </w:r>
      <w:r>
        <w:rPr>
          <w:color w:val="auto"/>
          <w:highlight w:val="none"/>
        </w:rPr>
        <w:t>对与本项目有关的通知，采购人将以书面形式（包括书面材料、信函、传真、电子邮件</w:t>
      </w:r>
      <w:r>
        <w:rPr>
          <w:rFonts w:hint="eastAsia"/>
          <w:color w:val="auto"/>
          <w:highlight w:val="none"/>
        </w:rPr>
        <w:t>、校园网公告</w:t>
      </w:r>
      <w:r>
        <w:rPr>
          <w:color w:val="auto"/>
          <w:highlight w:val="none"/>
        </w:rPr>
        <w:t>等，下同），送达所有与通知有关的已登记备案并领取了磋商采购文件的供应商（潜在供应商），传真号码以供应商的登记为准。供应商应于收到通知的当日以书面方式予以回复确认。因登记有误或传真</w:t>
      </w:r>
      <w:r>
        <w:rPr>
          <w:rFonts w:hint="eastAsia"/>
          <w:color w:val="auto"/>
          <w:highlight w:val="none"/>
        </w:rPr>
        <w:t>、邮件</w:t>
      </w:r>
      <w:r>
        <w:rPr>
          <w:color w:val="auto"/>
          <w:highlight w:val="none"/>
        </w:rPr>
        <w:t>线路故障导致通知延迟送达或无法送达，采购人不承担责任。</w:t>
      </w:r>
    </w:p>
    <w:p>
      <w:pPr>
        <w:rPr>
          <w:color w:val="auto"/>
          <w:highlight w:val="none"/>
        </w:rPr>
      </w:pPr>
      <w:r>
        <w:rPr>
          <w:color w:val="auto"/>
          <w:highlight w:val="none"/>
        </w:rPr>
        <w:t>5.2供应商应认真阅读磋商采购文件中所有的事项、格式条款和规范要求等。供应商没有对磋商采购文件做出全面的实质性响应是供应商的风险。采购人有权拒绝没有对磋商采购文件要求做出实质性响应的磋商。</w:t>
      </w:r>
    </w:p>
    <w:p>
      <w:pPr>
        <w:pStyle w:val="157"/>
        <w:spacing w:before="120" w:after="120"/>
        <w:rPr>
          <w:color w:val="auto"/>
          <w:highlight w:val="none"/>
        </w:rPr>
      </w:pPr>
    </w:p>
    <w:p>
      <w:pPr>
        <w:pStyle w:val="157"/>
        <w:spacing w:before="120" w:after="120"/>
        <w:rPr>
          <w:color w:val="auto"/>
          <w:highlight w:val="none"/>
        </w:rPr>
      </w:pPr>
      <w:r>
        <w:rPr>
          <w:color w:val="auto"/>
          <w:highlight w:val="none"/>
        </w:rPr>
        <w:t>二、磋商采购文件说明</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rPr>
          <w:color w:val="auto"/>
          <w:highlight w:val="none"/>
        </w:rPr>
      </w:pPr>
      <w:bookmarkStart w:id="68" w:name="_Toc385992332"/>
      <w:bookmarkStart w:id="69" w:name="_Toc70687146"/>
      <w:bookmarkStart w:id="70" w:name="_Toc184043019"/>
      <w:bookmarkStart w:id="71" w:name="_Toc389620171"/>
      <w:r>
        <w:rPr>
          <w:color w:val="auto"/>
          <w:highlight w:val="none"/>
        </w:rPr>
        <w:t>6. 磋商采购文件的构成</w:t>
      </w:r>
      <w:bookmarkEnd w:id="68"/>
      <w:bookmarkEnd w:id="69"/>
      <w:bookmarkEnd w:id="70"/>
      <w:bookmarkEnd w:id="71"/>
    </w:p>
    <w:p>
      <w:pPr>
        <w:rPr>
          <w:color w:val="auto"/>
          <w:highlight w:val="none"/>
        </w:rPr>
      </w:pPr>
      <w:r>
        <w:rPr>
          <w:color w:val="auto"/>
          <w:highlight w:val="none"/>
        </w:rPr>
        <w:t>6.1磋商采购文件用以阐明供应商所需提供的服务以及其它类似的义务、磋商程序和合同条款。磋商采购文件包括如下六部分内容：</w:t>
      </w:r>
    </w:p>
    <w:p>
      <w:pPr>
        <w:rPr>
          <w:color w:val="auto"/>
          <w:highlight w:val="none"/>
        </w:rPr>
      </w:pPr>
      <w:r>
        <w:rPr>
          <w:color w:val="auto"/>
          <w:highlight w:val="none"/>
        </w:rPr>
        <w:t>第一部分采购邀请</w:t>
      </w:r>
    </w:p>
    <w:p>
      <w:pPr>
        <w:rPr>
          <w:color w:val="auto"/>
          <w:highlight w:val="none"/>
        </w:rPr>
      </w:pPr>
      <w:r>
        <w:rPr>
          <w:color w:val="auto"/>
          <w:highlight w:val="none"/>
        </w:rPr>
        <w:t>第二部分供应商须知</w:t>
      </w:r>
    </w:p>
    <w:p>
      <w:pPr>
        <w:rPr>
          <w:color w:val="auto"/>
          <w:highlight w:val="none"/>
        </w:rPr>
      </w:pPr>
      <w:r>
        <w:rPr>
          <w:color w:val="auto"/>
          <w:highlight w:val="none"/>
        </w:rPr>
        <w:t>第三部分合同主要条款及格式</w:t>
      </w:r>
    </w:p>
    <w:p>
      <w:pPr>
        <w:rPr>
          <w:color w:val="auto"/>
          <w:highlight w:val="none"/>
        </w:rPr>
      </w:pPr>
      <w:r>
        <w:rPr>
          <w:color w:val="auto"/>
          <w:highlight w:val="none"/>
        </w:rPr>
        <w:t>第四部分技术需求书</w:t>
      </w:r>
    </w:p>
    <w:p>
      <w:pPr>
        <w:rPr>
          <w:color w:val="auto"/>
          <w:highlight w:val="none"/>
        </w:rPr>
      </w:pPr>
      <w:r>
        <w:rPr>
          <w:color w:val="auto"/>
          <w:highlight w:val="none"/>
        </w:rPr>
        <w:t>第五部分</w:t>
      </w:r>
      <w:r>
        <w:rPr>
          <w:bCs/>
          <w:color w:val="auto"/>
          <w:highlight w:val="none"/>
        </w:rPr>
        <w:t>评审办法</w:t>
      </w:r>
    </w:p>
    <w:p>
      <w:pPr>
        <w:rPr>
          <w:color w:val="auto"/>
          <w:highlight w:val="none"/>
        </w:rPr>
      </w:pPr>
      <w:r>
        <w:rPr>
          <w:color w:val="auto"/>
          <w:highlight w:val="none"/>
        </w:rPr>
        <w:t>第六部分响应文件格式</w:t>
      </w:r>
    </w:p>
    <w:p>
      <w:pPr>
        <w:rPr>
          <w:color w:val="auto"/>
          <w:highlight w:val="none"/>
        </w:rPr>
      </w:pPr>
      <w:bookmarkStart w:id="72" w:name="_Toc70687147"/>
      <w:bookmarkStart w:id="73" w:name="_Toc389620172"/>
      <w:bookmarkStart w:id="74" w:name="_Toc385992333"/>
      <w:bookmarkStart w:id="75" w:name="_Toc184043020"/>
      <w:r>
        <w:rPr>
          <w:color w:val="auto"/>
          <w:highlight w:val="none"/>
        </w:rPr>
        <w:t>7. 磋商采购文件的澄清</w:t>
      </w:r>
      <w:bookmarkEnd w:id="72"/>
      <w:bookmarkEnd w:id="73"/>
      <w:bookmarkEnd w:id="74"/>
      <w:bookmarkEnd w:id="75"/>
      <w:r>
        <w:rPr>
          <w:color w:val="auto"/>
          <w:szCs w:val="24"/>
          <w:highlight w:val="none"/>
        </w:rPr>
        <w:t>和修改</w:t>
      </w:r>
    </w:p>
    <w:p>
      <w:pPr>
        <w:rPr>
          <w:color w:val="auto"/>
          <w:highlight w:val="none"/>
        </w:rPr>
      </w:pPr>
      <w:r>
        <w:rPr>
          <w:color w:val="auto"/>
          <w:highlight w:val="none"/>
        </w:rPr>
        <w:t>7.1已登记备案并领取了磋商采购文件的潜在供应商，可要求采购人对磋商采购文件进行澄清，澄清要求应按供应商须知前附表中规定的时间和形式送达采购人。采购人将</w:t>
      </w:r>
      <w:r>
        <w:rPr>
          <w:color w:val="auto"/>
          <w:szCs w:val="21"/>
          <w:highlight w:val="none"/>
        </w:rPr>
        <w:t>视情况决定采用适当方式予以澄清或以书面形式予以答复，并在其认为必要时，在</w:t>
      </w:r>
      <w:r>
        <w:rPr>
          <w:color w:val="auto"/>
          <w:highlight w:val="none"/>
        </w:rPr>
        <w:t>首次响应文件提交截止之日前</w:t>
      </w:r>
      <w:r>
        <w:rPr>
          <w:color w:val="auto"/>
          <w:szCs w:val="21"/>
          <w:highlight w:val="none"/>
        </w:rPr>
        <w:t>将书面答复发给每个</w:t>
      </w:r>
      <w:r>
        <w:rPr>
          <w:rFonts w:hint="eastAsia"/>
          <w:color w:val="auto"/>
          <w:szCs w:val="21"/>
          <w:highlight w:val="none"/>
        </w:rPr>
        <w:t>领取</w:t>
      </w:r>
      <w:r>
        <w:rPr>
          <w:color w:val="auto"/>
          <w:szCs w:val="21"/>
          <w:highlight w:val="none"/>
        </w:rPr>
        <w:t>采购文件的潜在供应商</w:t>
      </w:r>
      <w:r>
        <w:rPr>
          <w:color w:val="auto"/>
          <w:highlight w:val="none"/>
        </w:rPr>
        <w:t>，答复中包括原提出的问题，但不包括问题的来源。</w:t>
      </w:r>
    </w:p>
    <w:p>
      <w:pPr>
        <w:rPr>
          <w:snapToGrid w:val="0"/>
          <w:color w:val="auto"/>
          <w:szCs w:val="21"/>
          <w:highlight w:val="none"/>
        </w:rPr>
      </w:pPr>
      <w:r>
        <w:rPr>
          <w:color w:val="auto"/>
          <w:highlight w:val="none"/>
        </w:rPr>
        <w:t>7.2 首次响应文件提交截止之日前，采购人或者磋商小组可以对已发出的磋商采购文件进行必要的澄清或者修改，澄清或者修改的内容作为磋商采购文件的组成部分。</w:t>
      </w:r>
    </w:p>
    <w:p>
      <w:pPr>
        <w:rPr>
          <w:color w:val="auto"/>
          <w:highlight w:val="none"/>
        </w:rPr>
      </w:pPr>
      <w:r>
        <w:rPr>
          <w:color w:val="auto"/>
          <w:highlight w:val="none"/>
        </w:rPr>
        <w:t>7.3对磋商采购文件的澄清和修改，将书面通知已领取磋商采购文件的潜在供应商，并在发布本项目</w:t>
      </w:r>
      <w:r>
        <w:rPr>
          <w:rFonts w:hint="eastAsia"/>
          <w:color w:val="auto"/>
          <w:highlight w:val="none"/>
        </w:rPr>
        <w:t>采购</w:t>
      </w:r>
      <w:r>
        <w:rPr>
          <w:color w:val="auto"/>
          <w:highlight w:val="none"/>
        </w:rPr>
        <w:t>公告的媒体上发布更正公告。供应商应于收到补充澄清或修改文件的当日以书面形式回复确认。</w:t>
      </w:r>
    </w:p>
    <w:p>
      <w:pPr>
        <w:rPr>
          <w:color w:val="auto"/>
          <w:highlight w:val="none"/>
        </w:rPr>
      </w:pPr>
      <w:r>
        <w:rPr>
          <w:color w:val="auto"/>
          <w:highlight w:val="none"/>
        </w:rPr>
        <w:t>7.4</w:t>
      </w:r>
      <w:r>
        <w:rPr>
          <w:snapToGrid w:val="0"/>
          <w:color w:val="auto"/>
          <w:szCs w:val="21"/>
          <w:highlight w:val="none"/>
        </w:rPr>
        <w:t>采购人可以视采购项目的具体情况，</w:t>
      </w:r>
      <w:r>
        <w:rPr>
          <w:bCs/>
          <w:snapToGrid w:val="0"/>
          <w:color w:val="auto"/>
          <w:szCs w:val="21"/>
          <w:highlight w:val="none"/>
        </w:rPr>
        <w:t>组织供应商进行现场考察或召开磋商前答疑会，但不得单独或分别组织只有一个供应商参加的现场考察和答疑会</w:t>
      </w:r>
      <w:r>
        <w:rPr>
          <w:color w:val="auto"/>
          <w:highlight w:val="none"/>
        </w:rPr>
        <w:t>。如果召开答疑会，采购人将通知已领取了磋商采购文件的供应商。</w:t>
      </w:r>
    </w:p>
    <w:p>
      <w:pPr>
        <w:rPr>
          <w:color w:val="auto"/>
          <w:highlight w:val="none"/>
        </w:rPr>
      </w:pPr>
      <w:bookmarkStart w:id="76" w:name="_Toc232395215"/>
      <w:bookmarkStart w:id="77" w:name="_Toc239740354"/>
      <w:bookmarkStart w:id="78" w:name="_Toc230013635"/>
      <w:bookmarkStart w:id="79" w:name="_Toc177817337"/>
      <w:bookmarkStart w:id="80" w:name="_Toc230099800"/>
      <w:bookmarkStart w:id="81" w:name="_Toc53722843"/>
      <w:bookmarkStart w:id="82" w:name="_Toc232176275"/>
      <w:bookmarkStart w:id="83" w:name="_Toc265738863"/>
      <w:bookmarkStart w:id="84" w:name="_Toc503063425"/>
      <w:bookmarkStart w:id="85" w:name="_Toc500747192"/>
      <w:bookmarkStart w:id="86" w:name="_Toc500747065"/>
      <w:bookmarkStart w:id="87" w:name="_Toc70687149"/>
      <w:bookmarkStart w:id="88" w:name="_Toc500746969"/>
      <w:bookmarkStart w:id="89" w:name="_Toc499711887"/>
      <w:bookmarkStart w:id="90" w:name="_Toc499711046"/>
      <w:bookmarkStart w:id="91" w:name="_Toc496324582"/>
      <w:bookmarkStart w:id="92" w:name="_Toc492955418"/>
      <w:bookmarkStart w:id="93" w:name="_Toc389620174"/>
      <w:bookmarkStart w:id="94" w:name="_Toc385992335"/>
      <w:bookmarkStart w:id="95" w:name="_Toc177995476"/>
      <w:bookmarkStart w:id="96" w:name="_Toc235518469"/>
      <w:bookmarkStart w:id="97" w:name="_Toc184043022"/>
      <w:bookmarkStart w:id="98" w:name="_Toc176882545"/>
      <w:bookmarkStart w:id="99" w:name="_Toc230583544"/>
      <w:bookmarkStart w:id="100" w:name="_Toc177189238"/>
    </w:p>
    <w:p>
      <w:pPr>
        <w:pStyle w:val="157"/>
        <w:spacing w:before="120" w:after="120"/>
        <w:rPr>
          <w:color w:val="auto"/>
          <w:highlight w:val="none"/>
        </w:rPr>
      </w:pPr>
      <w:r>
        <w:rPr>
          <w:color w:val="auto"/>
          <w:highlight w:val="none"/>
        </w:rPr>
        <w:t>三、响应文件的编写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rPr>
          <w:color w:val="auto"/>
          <w:highlight w:val="none"/>
        </w:rPr>
      </w:pPr>
      <w:bookmarkStart w:id="101" w:name="_Toc70687150"/>
      <w:bookmarkStart w:id="102" w:name="_Toc184043023"/>
      <w:bookmarkStart w:id="103" w:name="_Toc385992337"/>
      <w:bookmarkStart w:id="104" w:name="_Toc389620176"/>
      <w:r>
        <w:rPr>
          <w:color w:val="auto"/>
          <w:highlight w:val="none"/>
        </w:rPr>
        <w:t>8. 响应语言</w:t>
      </w:r>
      <w:bookmarkEnd w:id="101"/>
      <w:bookmarkEnd w:id="102"/>
    </w:p>
    <w:p>
      <w:pPr>
        <w:rPr>
          <w:color w:val="auto"/>
          <w:highlight w:val="none"/>
        </w:rPr>
      </w:pPr>
      <w:r>
        <w:rPr>
          <w:color w:val="auto"/>
          <w:highlight w:val="none"/>
        </w:rPr>
        <w:t>8.1响应文件及与响应相关的所有文件均应以中文书写。</w:t>
      </w:r>
    </w:p>
    <w:p>
      <w:pPr>
        <w:rPr>
          <w:color w:val="auto"/>
          <w:highlight w:val="none"/>
        </w:rPr>
      </w:pPr>
      <w:bookmarkStart w:id="105" w:name="_Toc70687151"/>
      <w:bookmarkStart w:id="106" w:name="_Toc184043024"/>
      <w:r>
        <w:rPr>
          <w:color w:val="auto"/>
          <w:highlight w:val="none"/>
        </w:rPr>
        <w:t>9. 计量单位</w:t>
      </w:r>
      <w:bookmarkEnd w:id="103"/>
      <w:bookmarkEnd w:id="104"/>
      <w:bookmarkEnd w:id="105"/>
      <w:bookmarkEnd w:id="106"/>
    </w:p>
    <w:p>
      <w:pPr>
        <w:rPr>
          <w:color w:val="auto"/>
          <w:highlight w:val="none"/>
        </w:rPr>
      </w:pPr>
      <w:r>
        <w:rPr>
          <w:color w:val="auto"/>
          <w:highlight w:val="none"/>
        </w:rPr>
        <w:t>9.1除在磋商采购文件的技术规格中另有规定外，计量单位应使用中华人民共和国法定计量单位。</w:t>
      </w:r>
    </w:p>
    <w:p>
      <w:pPr>
        <w:rPr>
          <w:color w:val="auto"/>
          <w:highlight w:val="none"/>
        </w:rPr>
      </w:pPr>
      <w:bookmarkStart w:id="107" w:name="_Toc389620177"/>
      <w:bookmarkStart w:id="108" w:name="_Toc385992338"/>
      <w:bookmarkStart w:id="109" w:name="_Toc70687152"/>
      <w:bookmarkStart w:id="110" w:name="_Toc184043025"/>
      <w:r>
        <w:rPr>
          <w:color w:val="auto"/>
          <w:highlight w:val="none"/>
        </w:rPr>
        <w:t>10. 响应文件的组成</w:t>
      </w:r>
      <w:bookmarkEnd w:id="107"/>
      <w:bookmarkEnd w:id="108"/>
      <w:bookmarkEnd w:id="109"/>
      <w:bookmarkEnd w:id="110"/>
    </w:p>
    <w:p>
      <w:pPr>
        <w:rPr>
          <w:color w:val="auto"/>
          <w:highlight w:val="none"/>
        </w:rPr>
      </w:pPr>
      <w:r>
        <w:rPr>
          <w:color w:val="auto"/>
          <w:highlight w:val="none"/>
        </w:rPr>
        <w:t>10.1 供应商应按下列响应文件内容要求编制响应文件，应包括以下内容：</w:t>
      </w:r>
    </w:p>
    <w:p>
      <w:pPr>
        <w:rPr>
          <w:color w:val="auto"/>
          <w:highlight w:val="none"/>
        </w:rPr>
      </w:pPr>
      <w:r>
        <w:rPr>
          <w:color w:val="auto"/>
          <w:highlight w:val="none"/>
        </w:rPr>
        <w:t>1）响应基本文件：</w:t>
      </w:r>
    </w:p>
    <w:p>
      <w:pPr>
        <w:rPr>
          <w:color w:val="auto"/>
          <w:highlight w:val="none"/>
        </w:rPr>
      </w:pPr>
      <w:r>
        <w:rPr>
          <w:color w:val="auto"/>
          <w:highlight w:val="none"/>
        </w:rPr>
        <w:t>（1）响应函</w:t>
      </w:r>
    </w:p>
    <w:p>
      <w:pPr>
        <w:rPr>
          <w:color w:val="auto"/>
          <w:highlight w:val="none"/>
        </w:rPr>
      </w:pPr>
      <w:r>
        <w:rPr>
          <w:color w:val="auto"/>
          <w:highlight w:val="none"/>
        </w:rPr>
        <w:t>（2）响应报价一览表</w:t>
      </w:r>
    </w:p>
    <w:p>
      <w:pPr>
        <w:rPr>
          <w:color w:val="auto"/>
          <w:highlight w:val="none"/>
        </w:rPr>
      </w:pPr>
      <w:r>
        <w:rPr>
          <w:color w:val="auto"/>
          <w:highlight w:val="none"/>
        </w:rPr>
        <w:t>（3）响应分项报价表</w:t>
      </w:r>
    </w:p>
    <w:p>
      <w:pPr>
        <w:rPr>
          <w:color w:val="auto"/>
          <w:sz w:val="20"/>
          <w:highlight w:val="none"/>
        </w:rPr>
      </w:pPr>
      <w:r>
        <w:rPr>
          <w:color w:val="auto"/>
          <w:highlight w:val="none"/>
        </w:rPr>
        <w:t>（4）法定代表人授权书</w:t>
      </w:r>
    </w:p>
    <w:p>
      <w:pPr>
        <w:rPr>
          <w:color w:val="auto"/>
          <w:highlight w:val="none"/>
        </w:rPr>
      </w:pPr>
      <w:r>
        <w:rPr>
          <w:color w:val="auto"/>
          <w:highlight w:val="none"/>
        </w:rPr>
        <w:t>2）商务及资格证明文件：</w:t>
      </w:r>
    </w:p>
    <w:p>
      <w:pPr>
        <w:rPr>
          <w:rFonts w:ascii="宋体" w:hAnsi="宋体"/>
          <w:color w:val="auto"/>
          <w:highlight w:val="none"/>
        </w:rPr>
      </w:pPr>
      <w:r>
        <w:rPr>
          <w:color w:val="auto"/>
          <w:highlight w:val="none"/>
        </w:rPr>
        <w:t>（</w:t>
      </w:r>
      <w:r>
        <w:rPr>
          <w:rFonts w:hint="eastAsia"/>
          <w:color w:val="auto"/>
          <w:highlight w:val="none"/>
        </w:rPr>
        <w:t>1</w:t>
      </w:r>
      <w:r>
        <w:rPr>
          <w:color w:val="auto"/>
          <w:highlight w:val="none"/>
        </w:rPr>
        <w:t>）</w:t>
      </w:r>
      <w:r>
        <w:rPr>
          <w:rFonts w:hint="eastAsia" w:ascii="宋体" w:hAnsi="宋体"/>
          <w:color w:val="auto"/>
          <w:szCs w:val="24"/>
          <w:highlight w:val="none"/>
        </w:rPr>
        <w:t>供应商为《</w:t>
      </w:r>
      <w:r>
        <w:rPr>
          <w:rFonts w:ascii="宋体" w:hAnsi="宋体"/>
          <w:color w:val="auto"/>
          <w:szCs w:val="24"/>
          <w:highlight w:val="none"/>
        </w:rPr>
        <w:t>201</w:t>
      </w:r>
      <w:r>
        <w:rPr>
          <w:rFonts w:hint="eastAsia" w:ascii="宋体" w:hAnsi="宋体"/>
          <w:color w:val="auto"/>
          <w:szCs w:val="24"/>
          <w:highlight w:val="none"/>
        </w:rPr>
        <w:t>8</w:t>
      </w:r>
      <w:r>
        <w:rPr>
          <w:rFonts w:ascii="宋体" w:hAnsi="宋体"/>
          <w:color w:val="auto"/>
          <w:szCs w:val="24"/>
          <w:highlight w:val="none"/>
        </w:rPr>
        <w:t>-20</w:t>
      </w:r>
      <w:r>
        <w:rPr>
          <w:rFonts w:hint="eastAsia" w:ascii="宋体" w:hAnsi="宋体"/>
          <w:color w:val="auto"/>
          <w:szCs w:val="24"/>
          <w:highlight w:val="none"/>
        </w:rPr>
        <w:t>20</w:t>
      </w:r>
      <w:r>
        <w:rPr>
          <w:rFonts w:ascii="宋体" w:hAnsi="宋体"/>
          <w:color w:val="auto"/>
          <w:szCs w:val="24"/>
          <w:highlight w:val="none"/>
        </w:rPr>
        <w:t>年度中央国家机关工程定点施工企业名录</w:t>
      </w:r>
      <w:r>
        <w:rPr>
          <w:rFonts w:hint="eastAsia" w:ascii="宋体" w:hAnsi="宋体"/>
          <w:color w:val="auto"/>
          <w:szCs w:val="24"/>
          <w:highlight w:val="none"/>
        </w:rPr>
        <w:t>》内第一包房屋建筑工程施工总承包、或第二包建筑装饰装修工程的定点供应商的证明材料（提供中标通知书或网页截图加盖公章）。</w:t>
      </w:r>
    </w:p>
    <w:p>
      <w:pPr>
        <w:rPr>
          <w:color w:val="auto"/>
          <w:highlight w:val="none"/>
        </w:rPr>
      </w:pPr>
      <w:r>
        <w:rPr>
          <w:color w:val="auto"/>
          <w:highlight w:val="none"/>
        </w:rPr>
        <w:t>（</w:t>
      </w:r>
      <w:r>
        <w:rPr>
          <w:rFonts w:hint="eastAsia"/>
          <w:color w:val="auto"/>
          <w:highlight w:val="none"/>
        </w:rPr>
        <w:t>2</w:t>
      </w:r>
      <w:r>
        <w:rPr>
          <w:color w:val="auto"/>
          <w:highlight w:val="none"/>
        </w:rPr>
        <w:t>）供应商基本情况表，附供应商简介。</w:t>
      </w:r>
    </w:p>
    <w:p>
      <w:pPr>
        <w:rPr>
          <w:color w:val="auto"/>
          <w:highlight w:val="none"/>
        </w:rPr>
      </w:pPr>
      <w:r>
        <w:rPr>
          <w:color w:val="auto"/>
          <w:highlight w:val="none"/>
        </w:rPr>
        <w:t>（</w:t>
      </w:r>
      <w:r>
        <w:rPr>
          <w:rFonts w:hint="eastAsia"/>
          <w:color w:val="auto"/>
          <w:highlight w:val="none"/>
        </w:rPr>
        <w:t>3</w:t>
      </w:r>
      <w:r>
        <w:rPr>
          <w:color w:val="auto"/>
          <w:highlight w:val="none"/>
        </w:rPr>
        <w:t>）证明供应商满足供应商资格条件的其他证明文件（如有）。</w:t>
      </w:r>
    </w:p>
    <w:p>
      <w:pPr>
        <w:rPr>
          <w:color w:val="auto"/>
          <w:highlight w:val="none"/>
        </w:rPr>
      </w:pPr>
      <w:r>
        <w:rPr>
          <w:color w:val="auto"/>
          <w:highlight w:val="none"/>
        </w:rPr>
        <w:t>（</w:t>
      </w:r>
      <w:r>
        <w:rPr>
          <w:rFonts w:hint="eastAsia"/>
          <w:color w:val="auto"/>
          <w:highlight w:val="none"/>
        </w:rPr>
        <w:t>4</w:t>
      </w:r>
      <w:r>
        <w:rPr>
          <w:color w:val="auto"/>
          <w:highlight w:val="none"/>
        </w:rPr>
        <w:t>）供应商类似项目业绩清单，附业绩证明文件。</w:t>
      </w:r>
    </w:p>
    <w:p>
      <w:pPr>
        <w:rPr>
          <w:color w:val="auto"/>
          <w:highlight w:val="none"/>
        </w:rPr>
      </w:pPr>
      <w:r>
        <w:rPr>
          <w:color w:val="auto"/>
          <w:highlight w:val="none"/>
        </w:rPr>
        <w:t>（</w:t>
      </w:r>
      <w:r>
        <w:rPr>
          <w:rFonts w:hint="eastAsia"/>
          <w:color w:val="auto"/>
          <w:highlight w:val="none"/>
        </w:rPr>
        <w:t>5</w:t>
      </w:r>
      <w:r>
        <w:rPr>
          <w:color w:val="auto"/>
          <w:highlight w:val="none"/>
        </w:rPr>
        <w:t>）《中小企业声明函》及声明函附件（小微企业须提供，否则评审时不得被认定为小微企业）</w:t>
      </w:r>
      <w:r>
        <w:rPr>
          <w:rFonts w:hint="eastAsia"/>
          <w:color w:val="auto"/>
          <w:highlight w:val="none"/>
        </w:rPr>
        <w:t>、残疾人福利性单位声明函</w:t>
      </w:r>
      <w:r>
        <w:rPr>
          <w:color w:val="auto"/>
          <w:highlight w:val="none"/>
        </w:rPr>
        <w:t>。</w:t>
      </w:r>
    </w:p>
    <w:p>
      <w:pPr>
        <w:rPr>
          <w:color w:val="auto"/>
          <w:highlight w:val="none"/>
        </w:rPr>
      </w:pPr>
      <w:r>
        <w:rPr>
          <w:color w:val="auto"/>
          <w:highlight w:val="none"/>
        </w:rPr>
        <w:t>3）技术及服务响应文件</w:t>
      </w:r>
    </w:p>
    <w:p>
      <w:pPr>
        <w:rPr>
          <w:color w:val="auto"/>
          <w:kern w:val="24"/>
          <w:highlight w:val="none"/>
        </w:rPr>
      </w:pPr>
      <w:r>
        <w:rPr>
          <w:color w:val="auto"/>
          <w:highlight w:val="none"/>
        </w:rPr>
        <w:t>（1）供应商</w:t>
      </w:r>
      <w:r>
        <w:rPr>
          <w:color w:val="auto"/>
          <w:kern w:val="24"/>
          <w:highlight w:val="none"/>
        </w:rPr>
        <w:t>应对磋商采购文件第四部分技术需求书中的各项条款做出清晰准确的应答，提交证明其拟提供技术和服务符合磋商采购文件的要求的</w:t>
      </w:r>
      <w:r>
        <w:rPr>
          <w:color w:val="auto"/>
          <w:kern w:val="24"/>
          <w:szCs w:val="21"/>
          <w:highlight w:val="none"/>
        </w:rPr>
        <w:t>技术响应文件，作为其响应文件的一部分</w:t>
      </w:r>
      <w:r>
        <w:rPr>
          <w:color w:val="auto"/>
          <w:kern w:val="24"/>
          <w:highlight w:val="none"/>
        </w:rPr>
        <w:t>。</w:t>
      </w:r>
    </w:p>
    <w:p>
      <w:pPr>
        <w:rPr>
          <w:color w:val="auto"/>
          <w:sz w:val="20"/>
          <w:highlight w:val="none"/>
        </w:rPr>
      </w:pPr>
      <w:r>
        <w:rPr>
          <w:color w:val="auto"/>
          <w:kern w:val="24"/>
          <w:highlight w:val="none"/>
        </w:rPr>
        <w:t>（2）上述文件可以是文字资料也可以是图样、图片等资料，并须提供</w:t>
      </w:r>
      <w:r>
        <w:rPr>
          <w:color w:val="auto"/>
          <w:highlight w:val="none"/>
        </w:rPr>
        <w:t>技术服务方案。</w:t>
      </w:r>
      <w:r>
        <w:rPr>
          <w:rFonts w:hint="eastAsia"/>
          <w:color w:val="auto"/>
          <w:highlight w:val="none"/>
        </w:rPr>
        <w:t>可以是文字资料、图纸和数据等</w:t>
      </w:r>
      <w:r>
        <w:rPr>
          <w:color w:val="auto"/>
          <w:highlight w:val="none"/>
        </w:rPr>
        <w:t>。</w:t>
      </w:r>
    </w:p>
    <w:p>
      <w:pPr>
        <w:rPr>
          <w:color w:val="auto"/>
          <w:kern w:val="24"/>
          <w:highlight w:val="none"/>
        </w:rPr>
      </w:pPr>
      <w:r>
        <w:rPr>
          <w:color w:val="auto"/>
          <w:kern w:val="24"/>
          <w:highlight w:val="none"/>
        </w:rPr>
        <w:t>（3）对采购文件第</w:t>
      </w:r>
      <w:r>
        <w:rPr>
          <w:rFonts w:hint="eastAsia"/>
          <w:color w:val="auto"/>
          <w:kern w:val="24"/>
          <w:highlight w:val="none"/>
        </w:rPr>
        <w:t>四部分</w:t>
      </w:r>
      <w:r>
        <w:rPr>
          <w:color w:val="auto"/>
          <w:kern w:val="24"/>
          <w:highlight w:val="none"/>
        </w:rPr>
        <w:t>提出的其它要求的明确响应。</w:t>
      </w:r>
    </w:p>
    <w:p>
      <w:pPr>
        <w:rPr>
          <w:color w:val="auto"/>
          <w:highlight w:val="none"/>
        </w:rPr>
      </w:pPr>
      <w:r>
        <w:rPr>
          <w:color w:val="auto"/>
          <w:highlight w:val="none"/>
        </w:rPr>
        <w:t>4）采购文件要求的或评审标准中涉及的其他内容和文件</w:t>
      </w:r>
    </w:p>
    <w:p>
      <w:pPr>
        <w:rPr>
          <w:color w:val="auto"/>
          <w:highlight w:val="none"/>
        </w:rPr>
      </w:pPr>
      <w:r>
        <w:rPr>
          <w:color w:val="auto"/>
          <w:highlight w:val="none"/>
        </w:rPr>
        <w:t>5）供应商人认为需要提供的其他文件或材料。</w:t>
      </w:r>
    </w:p>
    <w:p>
      <w:pPr>
        <w:rPr>
          <w:color w:val="auto"/>
          <w:highlight w:val="none"/>
        </w:rPr>
      </w:pPr>
      <w:r>
        <w:rPr>
          <w:color w:val="auto"/>
          <w:highlight w:val="none"/>
        </w:rPr>
        <w:t>10.2 供应商提供的以上材料必须真实有效，任何一项的虚假将导致其响应文件被拒绝。</w:t>
      </w:r>
    </w:p>
    <w:p>
      <w:pPr>
        <w:rPr>
          <w:color w:val="auto"/>
          <w:szCs w:val="21"/>
          <w:highlight w:val="none"/>
        </w:rPr>
      </w:pPr>
      <w:bookmarkStart w:id="111" w:name="_Toc389620178"/>
      <w:bookmarkStart w:id="112" w:name="_Toc70687153"/>
      <w:bookmarkStart w:id="113" w:name="_Toc385992339"/>
      <w:bookmarkStart w:id="114" w:name="_Toc184043026"/>
      <w:r>
        <w:rPr>
          <w:color w:val="auto"/>
          <w:highlight w:val="none"/>
        </w:rPr>
        <w:t>11. 响应文件格式</w:t>
      </w:r>
      <w:bookmarkEnd w:id="111"/>
      <w:bookmarkEnd w:id="112"/>
      <w:bookmarkEnd w:id="113"/>
      <w:bookmarkEnd w:id="114"/>
    </w:p>
    <w:p>
      <w:pPr>
        <w:rPr>
          <w:b/>
          <w:color w:val="auto"/>
          <w:kern w:val="24"/>
          <w:highlight w:val="none"/>
        </w:rPr>
      </w:pPr>
      <w:r>
        <w:rPr>
          <w:color w:val="auto"/>
          <w:kern w:val="24"/>
          <w:highlight w:val="none"/>
        </w:rPr>
        <w:t>对于磋商采购文件第六部分中已经提供了响应文件格式的，供应商须按提供的格式进行填写和编制，没有提供格式的可自行设计。</w:t>
      </w:r>
    </w:p>
    <w:p>
      <w:pPr>
        <w:rPr>
          <w:color w:val="auto"/>
          <w:highlight w:val="none"/>
        </w:rPr>
      </w:pPr>
      <w:bookmarkStart w:id="115" w:name="_Toc385992340"/>
      <w:bookmarkStart w:id="116" w:name="_Toc389620179"/>
      <w:bookmarkStart w:id="117" w:name="_Toc70687154"/>
      <w:bookmarkStart w:id="118" w:name="_Toc184043027"/>
      <w:r>
        <w:rPr>
          <w:color w:val="auto"/>
          <w:highlight w:val="none"/>
        </w:rPr>
        <w:t>12. 磋商报价</w:t>
      </w:r>
      <w:bookmarkEnd w:id="115"/>
      <w:bookmarkEnd w:id="116"/>
      <w:bookmarkEnd w:id="117"/>
      <w:bookmarkEnd w:id="118"/>
    </w:p>
    <w:p>
      <w:pPr>
        <w:rPr>
          <w:color w:val="auto"/>
          <w:highlight w:val="none"/>
        </w:rPr>
      </w:pPr>
      <w:r>
        <w:rPr>
          <w:color w:val="auto"/>
          <w:highlight w:val="none"/>
        </w:rPr>
        <w:t>12.1供应商须在首次响应文件中提交响应报价，磋商结束后磋商小组将要求所有实质性响应的供应商在规定时间内提交最后报价。</w:t>
      </w:r>
    </w:p>
    <w:p>
      <w:pPr>
        <w:rPr>
          <w:color w:val="auto"/>
          <w:kern w:val="24"/>
          <w:highlight w:val="none"/>
        </w:rPr>
      </w:pPr>
      <w:r>
        <w:rPr>
          <w:color w:val="auto"/>
          <w:kern w:val="24"/>
          <w:highlight w:val="none"/>
        </w:rPr>
        <w:t>12.2</w:t>
      </w:r>
      <w:r>
        <w:rPr>
          <w:color w:val="auto"/>
          <w:kern w:val="24"/>
          <w:szCs w:val="21"/>
          <w:highlight w:val="none"/>
        </w:rPr>
        <w:t>响应报价和最后报价均应包括供应商为完成</w:t>
      </w:r>
      <w:r>
        <w:rPr>
          <w:color w:val="auto"/>
          <w:highlight w:val="none"/>
        </w:rPr>
        <w:t>本项目所需的[所有相关服务]等在内的一切费用</w:t>
      </w:r>
      <w:r>
        <w:rPr>
          <w:color w:val="auto"/>
          <w:kern w:val="24"/>
          <w:szCs w:val="21"/>
          <w:highlight w:val="none"/>
        </w:rPr>
        <w:t>，并且</w:t>
      </w:r>
      <w:r>
        <w:rPr>
          <w:color w:val="auto"/>
          <w:highlight w:val="none"/>
        </w:rPr>
        <w:t>包含供应商完成本项目全部采购内容且达到技术需求书的要求并验收合格所需的全部费用。</w:t>
      </w:r>
      <w:r>
        <w:rPr>
          <w:color w:val="auto"/>
          <w:kern w:val="24"/>
          <w:highlight w:val="none"/>
        </w:rPr>
        <w:t>供应商对于因估算错误或漏项或设备/服务市场价格波动等导致的不可归责于采购人的风险一律由供应商承担。供应商填写的报价中如未加说明，则认为该报价已经按照本条款要求包含了上述全部费用。</w:t>
      </w:r>
    </w:p>
    <w:p>
      <w:pPr>
        <w:rPr>
          <w:color w:val="auto"/>
          <w:highlight w:val="none"/>
        </w:rPr>
      </w:pPr>
      <w:r>
        <w:rPr>
          <w:color w:val="auto"/>
          <w:kern w:val="24"/>
          <w:highlight w:val="none"/>
        </w:rPr>
        <w:t>12.3</w:t>
      </w:r>
      <w:r>
        <w:rPr>
          <w:color w:val="auto"/>
          <w:kern w:val="24"/>
          <w:szCs w:val="21"/>
          <w:highlight w:val="none"/>
        </w:rPr>
        <w:t>供应商应在分项报价表中详细列出所报</w:t>
      </w:r>
      <w:r>
        <w:rPr>
          <w:color w:val="auto"/>
          <w:highlight w:val="none"/>
        </w:rPr>
        <w:t>货物/服务</w:t>
      </w:r>
      <w:r>
        <w:rPr>
          <w:rFonts w:hint="eastAsia"/>
          <w:color w:val="auto"/>
          <w:highlight w:val="none"/>
        </w:rPr>
        <w:t>/工程</w:t>
      </w:r>
      <w:r>
        <w:rPr>
          <w:color w:val="auto"/>
          <w:kern w:val="24"/>
          <w:szCs w:val="21"/>
          <w:highlight w:val="none"/>
        </w:rPr>
        <w:t>的单价（如适用）和总价</w:t>
      </w:r>
      <w:r>
        <w:rPr>
          <w:rFonts w:hint="eastAsia"/>
          <w:color w:val="auto"/>
          <w:kern w:val="24"/>
          <w:szCs w:val="21"/>
          <w:highlight w:val="none"/>
        </w:rPr>
        <w:t>。</w:t>
      </w:r>
    </w:p>
    <w:p>
      <w:pPr>
        <w:rPr>
          <w:color w:val="auto"/>
          <w:kern w:val="24"/>
          <w:highlight w:val="none"/>
        </w:rPr>
      </w:pPr>
      <w:r>
        <w:rPr>
          <w:color w:val="auto"/>
          <w:kern w:val="24"/>
          <w:highlight w:val="none"/>
        </w:rPr>
        <w:t>12.4算术错误的修正。分项报价表中的总计金额应当与报价一览表中的相应报价金额相一致。供应商的报价如有错误，将按如下原则修正供应商的报价：总价金额与按单价汇总金额不一致的，以单价金额计算结果为准修正总价；单价金额小数点有明显错位的，应以总价为准，并修改单价。修正后的报价经供应商确认后具有约束力，供应商如不接受按上述原则修正后的报价，则其响应文件无效。</w:t>
      </w:r>
    </w:p>
    <w:p>
      <w:pPr>
        <w:rPr>
          <w:color w:val="auto"/>
          <w:kern w:val="24"/>
          <w:highlight w:val="none"/>
        </w:rPr>
      </w:pPr>
      <w:r>
        <w:rPr>
          <w:color w:val="auto"/>
          <w:kern w:val="24"/>
          <w:highlight w:val="none"/>
        </w:rPr>
        <w:t>12.5供应商的最后报价在合同执行过程中是固定不变的，未经采购人许可不得以任何理由予以变更。以可调整的价格提交的响应文件将作为非实质性的响应而予以拒绝。</w:t>
      </w:r>
    </w:p>
    <w:p>
      <w:pPr>
        <w:rPr>
          <w:color w:val="auto"/>
          <w:kern w:val="24"/>
          <w:highlight w:val="none"/>
        </w:rPr>
      </w:pPr>
      <w:r>
        <w:rPr>
          <w:color w:val="auto"/>
          <w:kern w:val="24"/>
          <w:highlight w:val="none"/>
        </w:rPr>
        <w:t>12.5供应商对每种服务只允许有一个报价，采购人不接受有任何选择的报价。</w:t>
      </w:r>
    </w:p>
    <w:p>
      <w:pPr>
        <w:rPr>
          <w:color w:val="auto"/>
          <w:highlight w:val="none"/>
        </w:rPr>
      </w:pPr>
      <w:bookmarkStart w:id="119" w:name="_Toc385992341"/>
      <w:bookmarkStart w:id="120" w:name="_Toc389620180"/>
      <w:bookmarkStart w:id="121" w:name="_Toc70687155"/>
      <w:bookmarkStart w:id="122" w:name="_Toc184043028"/>
      <w:r>
        <w:rPr>
          <w:color w:val="auto"/>
          <w:highlight w:val="none"/>
        </w:rPr>
        <w:t>13. 报价货币</w:t>
      </w:r>
      <w:bookmarkEnd w:id="119"/>
      <w:bookmarkEnd w:id="120"/>
      <w:bookmarkEnd w:id="121"/>
      <w:bookmarkEnd w:id="122"/>
    </w:p>
    <w:p>
      <w:pPr>
        <w:rPr>
          <w:color w:val="auto"/>
          <w:kern w:val="24"/>
          <w:highlight w:val="none"/>
        </w:rPr>
      </w:pPr>
      <w:r>
        <w:rPr>
          <w:color w:val="auto"/>
          <w:kern w:val="24"/>
          <w:highlight w:val="none"/>
        </w:rPr>
        <w:t>13.1所有报价一律用人民币填报，采购人不接受任何非人民币币种的报价。</w:t>
      </w:r>
      <w:bookmarkStart w:id="123" w:name="_Toc385992342"/>
      <w:bookmarkStart w:id="124" w:name="_Toc389620181"/>
    </w:p>
    <w:bookmarkEnd w:id="123"/>
    <w:bookmarkEnd w:id="124"/>
    <w:p>
      <w:pPr>
        <w:rPr>
          <w:color w:val="auto"/>
          <w:highlight w:val="none"/>
        </w:rPr>
      </w:pPr>
      <w:bookmarkStart w:id="125" w:name="_Toc389620183"/>
      <w:bookmarkStart w:id="126" w:name="_Toc385992344"/>
      <w:bookmarkStart w:id="127" w:name="_Toc70687158"/>
      <w:bookmarkStart w:id="128" w:name="_Toc184043031"/>
      <w:r>
        <w:rPr>
          <w:color w:val="auto"/>
          <w:highlight w:val="none"/>
        </w:rPr>
        <w:t>14．</w:t>
      </w:r>
      <w:bookmarkEnd w:id="125"/>
      <w:bookmarkEnd w:id="126"/>
      <w:bookmarkEnd w:id="127"/>
      <w:bookmarkEnd w:id="128"/>
      <w:r>
        <w:rPr>
          <w:color w:val="auto"/>
          <w:highlight w:val="none"/>
        </w:rPr>
        <w:t>磋商保证金</w:t>
      </w:r>
      <w:r>
        <w:rPr>
          <w:rFonts w:hint="eastAsia"/>
          <w:color w:val="auto"/>
          <w:highlight w:val="none"/>
        </w:rPr>
        <w:t>（本项目不适用）</w:t>
      </w:r>
    </w:p>
    <w:p>
      <w:pPr>
        <w:rPr>
          <w:color w:val="auto"/>
          <w:highlight w:val="none"/>
        </w:rPr>
      </w:pPr>
      <w:bookmarkStart w:id="129" w:name="_Toc385992345"/>
      <w:bookmarkStart w:id="130" w:name="_Toc184043032"/>
      <w:bookmarkStart w:id="131" w:name="_Toc70687159"/>
      <w:bookmarkStart w:id="132" w:name="_Toc389620184"/>
      <w:r>
        <w:rPr>
          <w:color w:val="auto"/>
          <w:highlight w:val="none"/>
        </w:rPr>
        <w:t>15. 响应有效期</w:t>
      </w:r>
      <w:bookmarkEnd w:id="129"/>
      <w:bookmarkEnd w:id="130"/>
      <w:bookmarkEnd w:id="131"/>
      <w:bookmarkEnd w:id="132"/>
    </w:p>
    <w:p>
      <w:pPr>
        <w:rPr>
          <w:color w:val="auto"/>
          <w:highlight w:val="none"/>
        </w:rPr>
      </w:pPr>
      <w:r>
        <w:rPr>
          <w:color w:val="auto"/>
          <w:highlight w:val="none"/>
        </w:rPr>
        <w:t>15.1响应有效期见本须知前附表，在响应有效期内响应文件均保持有效。响应文件中填报的响应有效期比本须知规定的有效期短的，将被视为非实质性响应，采购人有权拒绝。</w:t>
      </w:r>
    </w:p>
    <w:p>
      <w:pPr>
        <w:rPr>
          <w:color w:val="auto"/>
          <w:highlight w:val="none"/>
        </w:rPr>
      </w:pPr>
      <w:r>
        <w:rPr>
          <w:color w:val="auto"/>
          <w:highlight w:val="none"/>
        </w:rPr>
        <w:t>15.2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pPr>
        <w:rPr>
          <w:color w:val="auto"/>
          <w:highlight w:val="none"/>
        </w:rPr>
      </w:pPr>
      <w:bookmarkStart w:id="133" w:name="_Toc385992346"/>
      <w:bookmarkStart w:id="134" w:name="_Toc389620185"/>
      <w:bookmarkStart w:id="135" w:name="_Toc70687160"/>
      <w:bookmarkStart w:id="136" w:name="_Toc184043033"/>
      <w:r>
        <w:rPr>
          <w:color w:val="auto"/>
          <w:highlight w:val="none"/>
        </w:rPr>
        <w:t>16．响应文件的制作和签署</w:t>
      </w:r>
      <w:bookmarkEnd w:id="133"/>
      <w:bookmarkEnd w:id="134"/>
      <w:bookmarkEnd w:id="135"/>
      <w:bookmarkEnd w:id="136"/>
    </w:p>
    <w:p>
      <w:pPr>
        <w:rPr>
          <w:color w:val="auto"/>
          <w:highlight w:val="none"/>
        </w:rPr>
      </w:pPr>
      <w:r>
        <w:rPr>
          <w:color w:val="auto"/>
          <w:highlight w:val="none"/>
        </w:rPr>
        <w:t>16.1供应商应提供一份响应文件正本和供应商须知前附表中规定数目的副本及电子版本（使用WORD、EXCEL格式，采用U盘），每套响应文件须清楚地标明“正本”“副本”“电子版本”。若正本和副本不符，以正本为准，电子版与纸制文件不符，以纸制文件为准。</w:t>
      </w:r>
    </w:p>
    <w:p>
      <w:pPr>
        <w:rPr>
          <w:color w:val="auto"/>
          <w:highlight w:val="none"/>
        </w:rPr>
      </w:pPr>
      <w:r>
        <w:rPr>
          <w:color w:val="auto"/>
          <w:highlight w:val="none"/>
        </w:rPr>
        <w:t>16.2响应文件须用中文编写，并须有序地装订成册（A4纸），每一页都应标有连续页码，装订须牢固不易拆散和换页，不得采用活页方式装订，响应文件中不得留有空白页（如隔页纸）。</w:t>
      </w:r>
    </w:p>
    <w:p>
      <w:pPr>
        <w:rPr>
          <w:color w:val="auto"/>
          <w:highlight w:val="none"/>
        </w:rPr>
      </w:pPr>
      <w:r>
        <w:rPr>
          <w:color w:val="auto"/>
          <w:highlight w:val="none"/>
        </w:rPr>
        <w:t>16.3响应文件的正本，一律用不褪色的墨水书写或打印，加盖供应商单位公章，并由供应商的法定代表人或其授权的代理人签署。响应文件的副本可采用正本的复印件。</w:t>
      </w:r>
    </w:p>
    <w:p>
      <w:pPr>
        <w:rPr>
          <w:color w:val="auto"/>
          <w:highlight w:val="none"/>
        </w:rPr>
      </w:pPr>
      <w:r>
        <w:rPr>
          <w:color w:val="auto"/>
          <w:highlight w:val="none"/>
        </w:rPr>
        <w:t>16.4任何行间插字、涂改或增删，必须由响应文件签字人以姓或首字母在旁边签字才有效。</w:t>
      </w:r>
    </w:p>
    <w:p>
      <w:pPr>
        <w:rPr>
          <w:color w:val="auto"/>
          <w:highlight w:val="none"/>
        </w:rPr>
      </w:pPr>
      <w:r>
        <w:rPr>
          <w:color w:val="auto"/>
          <w:highlight w:val="none"/>
        </w:rPr>
        <w:t>16.5采购人拒绝接受以电报、电话、传真、电子邮件形式递交的响应文件。</w:t>
      </w:r>
    </w:p>
    <w:p>
      <w:pPr>
        <w:rPr>
          <w:color w:val="auto"/>
          <w:highlight w:val="none"/>
        </w:rPr>
      </w:pPr>
      <w:r>
        <w:rPr>
          <w:color w:val="auto"/>
          <w:highlight w:val="none"/>
        </w:rPr>
        <w:t>16.6</w:t>
      </w:r>
      <w:bookmarkStart w:id="137" w:name="_Hlt491765640"/>
      <w:bookmarkEnd w:id="137"/>
      <w:bookmarkStart w:id="138" w:name="_Toc496324583"/>
      <w:bookmarkStart w:id="139" w:name="_Toc499711047"/>
      <w:bookmarkStart w:id="140" w:name="_Toc385992347"/>
      <w:bookmarkStart w:id="141" w:name="_Toc492955419"/>
      <w:bookmarkStart w:id="142" w:name="_Toc499711888"/>
      <w:bookmarkStart w:id="143" w:name="_Toc500746970"/>
      <w:bookmarkStart w:id="144" w:name="_Toc500747066"/>
      <w:bookmarkStart w:id="145" w:name="_Toc500747193"/>
      <w:bookmarkStart w:id="146" w:name="_Toc503063426"/>
      <w:bookmarkStart w:id="147" w:name="_Toc53722844"/>
      <w:bookmarkStart w:id="148" w:name="_Toc70687161"/>
      <w:bookmarkStart w:id="149" w:name="_Toc230099801"/>
      <w:bookmarkStart w:id="150" w:name="_Toc230583545"/>
      <w:bookmarkStart w:id="151" w:name="_Toc232395216"/>
      <w:bookmarkStart w:id="152" w:name="_Toc239740355"/>
      <w:bookmarkStart w:id="153" w:name="_Toc232176276"/>
      <w:bookmarkStart w:id="154" w:name="_Toc235518470"/>
      <w:bookmarkStart w:id="155" w:name="_Toc389620186"/>
      <w:bookmarkStart w:id="156" w:name="_Toc265738864"/>
      <w:bookmarkStart w:id="157" w:name="_Toc176882546"/>
      <w:bookmarkStart w:id="158" w:name="_Toc177817338"/>
      <w:bookmarkStart w:id="159" w:name="_Toc177189239"/>
      <w:bookmarkStart w:id="160" w:name="_Toc184043034"/>
      <w:bookmarkStart w:id="161" w:name="_Toc230013636"/>
      <w:bookmarkStart w:id="162" w:name="_Toc177995477"/>
      <w:r>
        <w:rPr>
          <w:color w:val="auto"/>
          <w:highlight w:val="none"/>
        </w:rPr>
        <w:t>供应商在磋商过程中相关文件的签订、履行、通知等事项的书面文件中的单位盖章、印章、公章等处均仅指与供应商名称全称相一致的标准公章，不得使用其他形式（如带有“专用章”等字样）的印章。如供应商需要在本次项目中使用专用章，须提供符合以下要求的特别说明函：</w:t>
      </w:r>
    </w:p>
    <w:p>
      <w:pPr>
        <w:rPr>
          <w:color w:val="auto"/>
          <w:highlight w:val="none"/>
        </w:rPr>
      </w:pPr>
      <w:r>
        <w:rPr>
          <w:color w:val="auto"/>
          <w:highlight w:val="none"/>
        </w:rPr>
        <w:t>1)特别说明函须声明：针对本次采购项目，该供应商专用章作为直接参与响应时相关响应文件的签章、及业务合作伙伴参与响应时授权函的签章，其效力等同于公章；</w:t>
      </w:r>
    </w:p>
    <w:p>
      <w:pPr>
        <w:rPr>
          <w:color w:val="auto"/>
          <w:highlight w:val="none"/>
        </w:rPr>
      </w:pPr>
      <w:r>
        <w:rPr>
          <w:color w:val="auto"/>
          <w:highlight w:val="none"/>
        </w:rPr>
        <w:t>2)特别说明函须同时加盖供应商公章及专用章。</w:t>
      </w:r>
    </w:p>
    <w:p>
      <w:pPr>
        <w:rPr>
          <w:color w:val="auto"/>
          <w:highlight w:val="none"/>
        </w:rPr>
      </w:pPr>
    </w:p>
    <w:p>
      <w:pPr>
        <w:pStyle w:val="157"/>
        <w:spacing w:before="120" w:after="120"/>
        <w:rPr>
          <w:color w:val="auto"/>
          <w:highlight w:val="none"/>
        </w:rPr>
      </w:pPr>
      <w:r>
        <w:rPr>
          <w:color w:val="auto"/>
          <w:highlight w:val="none"/>
        </w:rPr>
        <w:t>四、响应文件的递交</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rPr>
          <w:color w:val="auto"/>
          <w:highlight w:val="none"/>
        </w:rPr>
      </w:pPr>
      <w:bookmarkStart w:id="163" w:name="_Toc127151535"/>
      <w:bookmarkStart w:id="164" w:name="_Toc127151736"/>
      <w:bookmarkStart w:id="165" w:name="_Toc127161449"/>
      <w:bookmarkStart w:id="166" w:name="_Toc142311037"/>
      <w:bookmarkStart w:id="167" w:name="_Toc149720828"/>
      <w:bookmarkStart w:id="168" w:name="_Toc150480773"/>
      <w:bookmarkStart w:id="169" w:name="_Toc150509286"/>
      <w:bookmarkStart w:id="170" w:name="_Toc150774635"/>
      <w:bookmarkStart w:id="171" w:name="_Toc150774740"/>
      <w:bookmarkStart w:id="172" w:name="_Toc151190162"/>
      <w:bookmarkStart w:id="173" w:name="_Toc151193633"/>
      <w:bookmarkStart w:id="174" w:name="_Toc151193705"/>
      <w:bookmarkStart w:id="175" w:name="_Toc151193777"/>
      <w:bookmarkStart w:id="176" w:name="_Toc151193849"/>
      <w:bookmarkStart w:id="177" w:name="_Toc151193923"/>
      <w:bookmarkStart w:id="178" w:name="_Toc164229376"/>
      <w:bookmarkStart w:id="179" w:name="_Toc164351629"/>
      <w:bookmarkStart w:id="180" w:name="_Toc164608804"/>
      <w:bookmarkStart w:id="181" w:name="_Toc195842900"/>
      <w:bookmarkStart w:id="182" w:name="_Toc226309779"/>
      <w:bookmarkStart w:id="183" w:name="_Toc226337231"/>
      <w:bookmarkStart w:id="184" w:name="_Toc226965725"/>
      <w:bookmarkStart w:id="185" w:name="_Toc226965808"/>
      <w:bookmarkStart w:id="186" w:name="_Toc264969225"/>
      <w:bookmarkStart w:id="187" w:name="_Toc265228373"/>
      <w:bookmarkStart w:id="188" w:name="_Toc305983648"/>
      <w:bookmarkStart w:id="189" w:name="_Toc305983802"/>
      <w:bookmarkStart w:id="190" w:name="_Toc316402797"/>
      <w:bookmarkStart w:id="191" w:name="_Toc316402992"/>
      <w:bookmarkStart w:id="192" w:name="_Toc316403210"/>
      <w:bookmarkStart w:id="193" w:name="_Toc164229230"/>
      <w:bookmarkStart w:id="194" w:name="_Toc318318318"/>
      <w:bookmarkStart w:id="195" w:name="_Toc318318688"/>
      <w:bookmarkStart w:id="196" w:name="_Toc164608649"/>
      <w:bookmarkStart w:id="197" w:name="_Toc373513358"/>
      <w:bookmarkStart w:id="198" w:name="_Toc520356160"/>
      <w:bookmarkStart w:id="199" w:name="_Toc432430457"/>
      <w:bookmarkStart w:id="200" w:name="_Toc443397183"/>
      <w:bookmarkStart w:id="201" w:name="_Toc443397247"/>
      <w:bookmarkStart w:id="202" w:name="_Toc443481349"/>
      <w:bookmarkStart w:id="203" w:name="_Toc385992349"/>
      <w:bookmarkStart w:id="204" w:name="_Toc389620188"/>
      <w:bookmarkStart w:id="205" w:name="_Toc70687163"/>
      <w:bookmarkStart w:id="206" w:name="_Toc184043036"/>
      <w:r>
        <w:rPr>
          <w:color w:val="auto"/>
          <w:highlight w:val="none"/>
        </w:rPr>
        <w:t>17.响应文件的密封和标记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rPr>
          <w:color w:val="auto"/>
          <w:highlight w:val="none"/>
        </w:rPr>
      </w:pPr>
      <w:r>
        <w:rPr>
          <w:color w:val="auto"/>
          <w:highlight w:val="none"/>
        </w:rPr>
        <w:t>17.1供应商应将响应文件正本和副本、电子文档分开密封装在单独的信封中进行提交，且在信封正面标明“正副本”“电子文档”字样。</w:t>
      </w:r>
    </w:p>
    <w:p>
      <w:pPr>
        <w:rPr>
          <w:color w:val="auto"/>
          <w:highlight w:val="none"/>
        </w:rPr>
      </w:pPr>
      <w:r>
        <w:rPr>
          <w:color w:val="auto"/>
          <w:highlight w:val="none"/>
        </w:rPr>
        <w:t>17.</w:t>
      </w:r>
      <w:r>
        <w:rPr>
          <w:rFonts w:hint="eastAsia"/>
          <w:color w:val="auto"/>
          <w:highlight w:val="none"/>
        </w:rPr>
        <w:t>2</w:t>
      </w:r>
      <w:r>
        <w:rPr>
          <w:color w:val="auto"/>
          <w:highlight w:val="none"/>
        </w:rPr>
        <w:t>所有信封上均应：</w:t>
      </w:r>
    </w:p>
    <w:p>
      <w:pPr>
        <w:rPr>
          <w:color w:val="auto"/>
          <w:highlight w:val="none"/>
        </w:rPr>
      </w:pPr>
      <w:r>
        <w:rPr>
          <w:color w:val="auto"/>
          <w:highlight w:val="none"/>
        </w:rPr>
        <w:t>（1）清楚标明递交至校内磋商采购邀请中指明的地址；</w:t>
      </w:r>
    </w:p>
    <w:p>
      <w:pPr>
        <w:rPr>
          <w:color w:val="auto"/>
          <w:highlight w:val="none"/>
        </w:rPr>
      </w:pPr>
      <w:r>
        <w:rPr>
          <w:color w:val="auto"/>
          <w:highlight w:val="none"/>
        </w:rPr>
        <w:t>（2）注明校内磋商采购邀请中指明的项目名称和“在</w:t>
      </w:r>
      <w:r>
        <w:rPr>
          <w:color w:val="auto"/>
          <w:highlight w:val="none"/>
          <w:u w:val="single"/>
        </w:rPr>
        <w:t>（</w:t>
      </w:r>
      <w:r>
        <w:rPr>
          <w:rFonts w:hint="eastAsia"/>
          <w:color w:val="auto"/>
          <w:highlight w:val="none"/>
          <w:u w:val="single"/>
        </w:rPr>
        <w:t>首次提交响应文件截止时间</w:t>
      </w:r>
      <w:r>
        <w:rPr>
          <w:color w:val="auto"/>
          <w:highlight w:val="none"/>
          <w:u w:val="single"/>
        </w:rPr>
        <w:t>）</w:t>
      </w:r>
      <w:r>
        <w:rPr>
          <w:color w:val="auto"/>
          <w:highlight w:val="none"/>
        </w:rPr>
        <w:t>之前不得启封”的字样；</w:t>
      </w:r>
    </w:p>
    <w:p>
      <w:pPr>
        <w:rPr>
          <w:color w:val="auto"/>
          <w:highlight w:val="none"/>
        </w:rPr>
      </w:pPr>
      <w:r>
        <w:rPr>
          <w:color w:val="auto"/>
          <w:highlight w:val="none"/>
        </w:rPr>
        <w:t>（3）在信封的封装处加盖供应商公章或密封章。</w:t>
      </w:r>
    </w:p>
    <w:p>
      <w:pPr>
        <w:rPr>
          <w:color w:val="auto"/>
          <w:highlight w:val="none"/>
        </w:rPr>
      </w:pPr>
      <w:r>
        <w:rPr>
          <w:color w:val="auto"/>
          <w:highlight w:val="none"/>
        </w:rPr>
        <w:t>17.</w:t>
      </w:r>
      <w:r>
        <w:rPr>
          <w:rFonts w:hint="eastAsia"/>
          <w:color w:val="auto"/>
          <w:highlight w:val="none"/>
        </w:rPr>
        <w:t>3</w:t>
      </w:r>
      <w:r>
        <w:rPr>
          <w:color w:val="auto"/>
          <w:highlight w:val="none"/>
        </w:rPr>
        <w:t>所有信封上还应写明供应商名称和地址，以便若其响应被宣布为“迟到”响应时，能原封退回。</w:t>
      </w:r>
    </w:p>
    <w:p>
      <w:pPr>
        <w:rPr>
          <w:color w:val="auto"/>
          <w:highlight w:val="none"/>
        </w:rPr>
      </w:pPr>
      <w:r>
        <w:rPr>
          <w:color w:val="auto"/>
          <w:highlight w:val="none"/>
        </w:rPr>
        <w:t>17.</w:t>
      </w:r>
      <w:r>
        <w:rPr>
          <w:rFonts w:hint="eastAsia"/>
          <w:color w:val="auto"/>
          <w:highlight w:val="none"/>
        </w:rPr>
        <w:t>4</w:t>
      </w:r>
      <w:r>
        <w:rPr>
          <w:color w:val="auto"/>
          <w:highlight w:val="none"/>
        </w:rPr>
        <w:t>如果供应商未按上述要求密封及加写标记，采购单位对响应文件的误投或过早启封概不负责。</w:t>
      </w:r>
    </w:p>
    <w:p>
      <w:pPr>
        <w:rPr>
          <w:color w:val="auto"/>
          <w:highlight w:val="none"/>
        </w:rPr>
      </w:pPr>
      <w:r>
        <w:rPr>
          <w:color w:val="auto"/>
          <w:highlight w:val="none"/>
        </w:rPr>
        <w:t xml:space="preserve">18. </w:t>
      </w:r>
      <w:bookmarkEnd w:id="203"/>
      <w:bookmarkEnd w:id="204"/>
      <w:r>
        <w:rPr>
          <w:color w:val="auto"/>
          <w:highlight w:val="none"/>
        </w:rPr>
        <w:t>首次响应文件提交截止时间</w:t>
      </w:r>
      <w:bookmarkEnd w:id="205"/>
      <w:bookmarkEnd w:id="206"/>
    </w:p>
    <w:p>
      <w:pPr>
        <w:rPr>
          <w:color w:val="auto"/>
          <w:highlight w:val="none"/>
        </w:rPr>
      </w:pPr>
      <w:bookmarkStart w:id="207" w:name="_Toc389620189"/>
      <w:bookmarkStart w:id="208" w:name="_Toc385992350"/>
      <w:bookmarkStart w:id="209" w:name="_Toc184043037"/>
      <w:bookmarkStart w:id="210" w:name="_Toc70687164"/>
      <w:r>
        <w:rPr>
          <w:color w:val="auto"/>
          <w:highlight w:val="none"/>
        </w:rPr>
        <w:t>18.1供应商应在磋商采购文件规定的</w:t>
      </w:r>
      <w:r>
        <w:rPr>
          <w:color w:val="auto"/>
          <w:szCs w:val="21"/>
          <w:highlight w:val="none"/>
        </w:rPr>
        <w:t>首次响应文件提交截止时间</w:t>
      </w:r>
      <w:r>
        <w:rPr>
          <w:color w:val="auto"/>
          <w:highlight w:val="none"/>
        </w:rPr>
        <w:t>之前，将响应文件</w:t>
      </w:r>
      <w:r>
        <w:rPr>
          <w:snapToGrid w:val="0"/>
          <w:color w:val="auto"/>
          <w:szCs w:val="21"/>
          <w:highlight w:val="none"/>
        </w:rPr>
        <w:t>密封送达指定地点并递交</w:t>
      </w:r>
      <w:r>
        <w:rPr>
          <w:color w:val="auto"/>
          <w:highlight w:val="none"/>
        </w:rPr>
        <w:t>至采购人，首次响应文件提交截止时间和地点见前附表。</w:t>
      </w:r>
    </w:p>
    <w:p>
      <w:pPr>
        <w:rPr>
          <w:color w:val="auto"/>
          <w:highlight w:val="none"/>
        </w:rPr>
      </w:pPr>
      <w:r>
        <w:rPr>
          <w:color w:val="auto"/>
          <w:highlight w:val="none"/>
        </w:rPr>
        <w:t>18.2采购人可以按本须知第7条规定，首次响应文件提交截止时间。在此情况下，采购人和供应商受首次响应文件提交截止时间制约的所有权利和义务均应延长至新的首次响应文件提交截止时间。</w:t>
      </w:r>
    </w:p>
    <w:p>
      <w:pPr>
        <w:rPr>
          <w:color w:val="auto"/>
          <w:szCs w:val="21"/>
          <w:highlight w:val="none"/>
        </w:rPr>
      </w:pPr>
      <w:r>
        <w:rPr>
          <w:color w:val="auto"/>
          <w:highlight w:val="none"/>
        </w:rPr>
        <w:t>18</w:t>
      </w:r>
      <w:r>
        <w:rPr>
          <w:color w:val="auto"/>
          <w:szCs w:val="21"/>
          <w:highlight w:val="none"/>
        </w:rPr>
        <w:t>.3</w:t>
      </w:r>
      <w:bookmarkEnd w:id="207"/>
      <w:bookmarkEnd w:id="208"/>
      <w:bookmarkEnd w:id="209"/>
      <w:bookmarkEnd w:id="210"/>
      <w:r>
        <w:rPr>
          <w:color w:val="auto"/>
          <w:szCs w:val="21"/>
          <w:highlight w:val="none"/>
        </w:rPr>
        <w:t>在</w:t>
      </w:r>
      <w:r>
        <w:rPr>
          <w:color w:val="auto"/>
          <w:highlight w:val="none"/>
        </w:rPr>
        <w:t>规定的首次响应文件提交截止时间后</w:t>
      </w:r>
      <w:r>
        <w:rPr>
          <w:snapToGrid w:val="0"/>
          <w:color w:val="auto"/>
          <w:szCs w:val="21"/>
          <w:highlight w:val="none"/>
        </w:rPr>
        <w:t>送达的响应文件为无效文件，</w:t>
      </w:r>
      <w:r>
        <w:rPr>
          <w:color w:val="auto"/>
          <w:highlight w:val="none"/>
        </w:rPr>
        <w:t>采购人将拒绝接收并原封退回。</w:t>
      </w:r>
    </w:p>
    <w:p>
      <w:pPr>
        <w:rPr>
          <w:color w:val="auto"/>
          <w:highlight w:val="none"/>
        </w:rPr>
      </w:pPr>
      <w:bookmarkStart w:id="211" w:name="_Toc70687165"/>
      <w:bookmarkStart w:id="212" w:name="_Toc184043038"/>
      <w:bookmarkStart w:id="213" w:name="_Toc385992351"/>
      <w:bookmarkStart w:id="214" w:name="_Toc389620190"/>
      <w:r>
        <w:rPr>
          <w:color w:val="auto"/>
          <w:highlight w:val="none"/>
        </w:rPr>
        <w:t>19. 响应文件的补充、修改、撤回和撤销</w:t>
      </w:r>
      <w:bookmarkEnd w:id="211"/>
      <w:bookmarkEnd w:id="212"/>
      <w:bookmarkEnd w:id="213"/>
      <w:bookmarkEnd w:id="214"/>
    </w:p>
    <w:p>
      <w:pPr>
        <w:rPr>
          <w:color w:val="auto"/>
          <w:highlight w:val="none"/>
        </w:rPr>
      </w:pPr>
      <w:r>
        <w:rPr>
          <w:color w:val="auto"/>
          <w:highlight w:val="none"/>
        </w:rPr>
        <w:t>19.1</w:t>
      </w:r>
      <w:r>
        <w:rPr>
          <w:snapToGrid w:val="0"/>
          <w:color w:val="auto"/>
          <w:szCs w:val="21"/>
          <w:highlight w:val="none"/>
        </w:rPr>
        <w:t>供应商在</w:t>
      </w:r>
      <w:r>
        <w:rPr>
          <w:color w:val="auto"/>
          <w:highlight w:val="none"/>
        </w:rPr>
        <w:t>首次响应文件提交截止时间</w:t>
      </w:r>
      <w:r>
        <w:rPr>
          <w:snapToGrid w:val="0"/>
          <w:color w:val="auto"/>
          <w:szCs w:val="21"/>
          <w:highlight w:val="none"/>
        </w:rPr>
        <w:t>前，可以对所提交的响应文件进行补充、修改或者撤回，并书面通知采购人。补充、修改的内容作为响应文件的组成部分。补充、修改的内容与响应文件不一致的，以补充、修改的内容为准。</w:t>
      </w:r>
      <w:r>
        <w:rPr>
          <w:color w:val="auto"/>
          <w:highlight w:val="none"/>
        </w:rPr>
        <w:t>该补充、修改或撤回的书面通知须在首次响应文件提交截止时间之前送达</w:t>
      </w:r>
      <w:r>
        <w:rPr>
          <w:color w:val="auto"/>
          <w:szCs w:val="24"/>
          <w:highlight w:val="none"/>
        </w:rPr>
        <w:t>响应文件递交地点</w:t>
      </w:r>
      <w:r>
        <w:rPr>
          <w:color w:val="auto"/>
          <w:highlight w:val="none"/>
        </w:rPr>
        <w:t>，该通知需经正式授权的供应商代表签字且由采购人签收方为有效。</w:t>
      </w:r>
    </w:p>
    <w:p>
      <w:pPr>
        <w:rPr>
          <w:color w:val="auto"/>
          <w:highlight w:val="none"/>
        </w:rPr>
      </w:pPr>
      <w:r>
        <w:rPr>
          <w:color w:val="auto"/>
          <w:highlight w:val="none"/>
        </w:rPr>
        <w:t>19.2供应商对响应文件补充、修改的书面材料或撤回的通知应按本须知第</w:t>
      </w:r>
      <w:r>
        <w:rPr>
          <w:color w:val="auto"/>
          <w:highlight w:val="none"/>
          <w:u w:val="single"/>
        </w:rPr>
        <w:t>16</w:t>
      </w:r>
      <w:r>
        <w:rPr>
          <w:color w:val="auto"/>
          <w:highlight w:val="none"/>
        </w:rPr>
        <w:t>和</w:t>
      </w:r>
      <w:r>
        <w:rPr>
          <w:color w:val="auto"/>
          <w:highlight w:val="none"/>
          <w:u w:val="single"/>
        </w:rPr>
        <w:t>17</w:t>
      </w:r>
      <w:r>
        <w:rPr>
          <w:color w:val="auto"/>
          <w:highlight w:val="none"/>
        </w:rPr>
        <w:t>条规定进行编写、密封、标注和递送，并注明“修改响应文件”或“撤回响应文件”字样。</w:t>
      </w:r>
    </w:p>
    <w:p>
      <w:pPr>
        <w:rPr>
          <w:color w:val="auto"/>
          <w:highlight w:val="none"/>
        </w:rPr>
      </w:pPr>
      <w:r>
        <w:rPr>
          <w:color w:val="auto"/>
          <w:highlight w:val="none"/>
        </w:rPr>
        <w:t>19.3在首次响应文件提交截止时间之后，供应商不得</w:t>
      </w:r>
      <w:r>
        <w:rPr>
          <w:rFonts w:hint="eastAsia"/>
          <w:color w:val="auto"/>
          <w:highlight w:val="none"/>
        </w:rPr>
        <w:t>擅自</w:t>
      </w:r>
      <w:r>
        <w:rPr>
          <w:color w:val="auto"/>
          <w:highlight w:val="none"/>
        </w:rPr>
        <w:t>对其响应文件做任何修改</w:t>
      </w:r>
      <w:r>
        <w:rPr>
          <w:rFonts w:hint="eastAsia"/>
          <w:color w:val="auto"/>
          <w:highlight w:val="none"/>
        </w:rPr>
        <w:t>，现场评审小组对采购内容变化做出变更确认需要供应商做出补充说明的除外</w:t>
      </w:r>
      <w:r>
        <w:rPr>
          <w:color w:val="auto"/>
          <w:highlight w:val="none"/>
        </w:rPr>
        <w:t>。</w:t>
      </w:r>
    </w:p>
    <w:p>
      <w:pPr>
        <w:rPr>
          <w:color w:val="auto"/>
          <w:highlight w:val="none"/>
        </w:rPr>
      </w:pPr>
      <w:r>
        <w:rPr>
          <w:color w:val="auto"/>
          <w:highlight w:val="none"/>
        </w:rPr>
        <w:t>19.4供应商不得在递交最后报价后至响应有效期期满前撤销其响应文件，否则其保证金将按本须知14.8款的规定被没收。</w:t>
      </w:r>
    </w:p>
    <w:p>
      <w:pPr>
        <w:rPr>
          <w:color w:val="auto"/>
          <w:highlight w:val="none"/>
        </w:rPr>
      </w:pPr>
      <w:bookmarkStart w:id="215" w:name="_Hlt491765712"/>
      <w:bookmarkEnd w:id="215"/>
      <w:bookmarkStart w:id="216" w:name="_Hlt497729441"/>
      <w:bookmarkEnd w:id="216"/>
      <w:bookmarkStart w:id="217" w:name="_Toc239740356"/>
      <w:bookmarkStart w:id="218" w:name="_Toc265738865"/>
      <w:bookmarkStart w:id="219" w:name="_Toc235518471"/>
      <w:bookmarkStart w:id="220" w:name="_Toc214357452"/>
      <w:bookmarkStart w:id="221" w:name="_Toc232176277"/>
      <w:bookmarkStart w:id="222" w:name="_Toc232395217"/>
      <w:bookmarkStart w:id="223" w:name="_Toc389620191"/>
      <w:bookmarkStart w:id="224" w:name="_Toc492955420"/>
      <w:bookmarkStart w:id="225" w:name="_Toc496324584"/>
      <w:bookmarkStart w:id="226" w:name="_Toc499711048"/>
      <w:bookmarkStart w:id="227" w:name="_Toc499711889"/>
      <w:bookmarkStart w:id="228" w:name="_Toc500747194"/>
      <w:bookmarkStart w:id="229" w:name="_Toc503063427"/>
      <w:bookmarkStart w:id="230" w:name="_Toc53722845"/>
      <w:bookmarkStart w:id="231" w:name="_Toc70687166"/>
      <w:bookmarkStart w:id="232" w:name="_Toc176882547"/>
      <w:bookmarkStart w:id="233" w:name="_Toc177817339"/>
      <w:bookmarkStart w:id="234" w:name="_Toc177995478"/>
      <w:bookmarkStart w:id="235" w:name="_Toc184043039"/>
      <w:bookmarkStart w:id="236" w:name="_Toc177189240"/>
      <w:bookmarkStart w:id="237" w:name="_Toc385992352"/>
      <w:bookmarkStart w:id="238" w:name="_Toc500746971"/>
      <w:bookmarkStart w:id="239" w:name="_Toc500747067"/>
    </w:p>
    <w:p>
      <w:pPr>
        <w:pStyle w:val="157"/>
        <w:spacing w:before="120" w:after="120"/>
        <w:rPr>
          <w:color w:val="auto"/>
          <w:highlight w:val="none"/>
        </w:rPr>
      </w:pPr>
      <w:r>
        <w:rPr>
          <w:color w:val="auto"/>
          <w:highlight w:val="none"/>
        </w:rPr>
        <w:t>五、</w:t>
      </w:r>
      <w:bookmarkEnd w:id="217"/>
      <w:bookmarkEnd w:id="218"/>
      <w:bookmarkEnd w:id="219"/>
      <w:bookmarkEnd w:id="220"/>
      <w:bookmarkEnd w:id="221"/>
      <w:bookmarkEnd w:id="222"/>
      <w:r>
        <w:rPr>
          <w:color w:val="auto"/>
          <w:highlight w:val="none"/>
        </w:rPr>
        <w:t>磋商程序</w:t>
      </w:r>
    </w:p>
    <w:p>
      <w:pPr>
        <w:rPr>
          <w:color w:val="auto"/>
          <w:highlight w:val="none"/>
        </w:rPr>
      </w:pPr>
      <w:bookmarkStart w:id="240" w:name="_Toc443481350"/>
      <w:bookmarkStart w:id="241" w:name="_Toc443397184"/>
      <w:bookmarkStart w:id="242" w:name="_Toc443397248"/>
      <w:bookmarkStart w:id="243" w:name="_Toc432430458"/>
      <w:r>
        <w:rPr>
          <w:color w:val="auto"/>
          <w:highlight w:val="none"/>
        </w:rPr>
        <w:t>20. 响应文件的开启</w:t>
      </w:r>
      <w:bookmarkEnd w:id="240"/>
      <w:bookmarkEnd w:id="241"/>
      <w:bookmarkEnd w:id="242"/>
      <w:bookmarkEnd w:id="243"/>
    </w:p>
    <w:p>
      <w:pPr>
        <w:rPr>
          <w:color w:val="auto"/>
          <w:highlight w:val="none"/>
        </w:rPr>
      </w:pPr>
      <w:r>
        <w:rPr>
          <w:color w:val="auto"/>
          <w:highlight w:val="none"/>
        </w:rPr>
        <w:t>20.1采购人应当按校内磋商采购邀请中规定的响应文件开启日期及地点开启响应文件。</w:t>
      </w:r>
      <w:r>
        <w:rPr>
          <w:color w:val="auto"/>
          <w:highlight w:val="none"/>
        </w:rPr>
        <w:t>供应商代表应签名报到以证明其出席。</w:t>
      </w:r>
    </w:p>
    <w:p>
      <w:pPr>
        <w:rPr>
          <w:color w:val="auto"/>
          <w:highlight w:val="none"/>
        </w:rPr>
      </w:pPr>
      <w:bookmarkStart w:id="244" w:name="_Toc195842905"/>
      <w:bookmarkStart w:id="245" w:name="_Toc226309784"/>
      <w:bookmarkStart w:id="246" w:name="_Toc226337236"/>
      <w:bookmarkStart w:id="247" w:name="_Toc226965730"/>
      <w:bookmarkStart w:id="248" w:name="_Toc226965813"/>
      <w:bookmarkStart w:id="249" w:name="_Toc264969230"/>
      <w:bookmarkStart w:id="250" w:name="_Toc265228378"/>
      <w:bookmarkStart w:id="251" w:name="_Toc305983653"/>
      <w:bookmarkStart w:id="252" w:name="_Toc305983807"/>
      <w:bookmarkStart w:id="253" w:name="_Toc316402802"/>
      <w:bookmarkStart w:id="254" w:name="_Toc316402997"/>
      <w:bookmarkStart w:id="255" w:name="_Toc316403215"/>
      <w:bookmarkStart w:id="256" w:name="_Toc318318323"/>
      <w:bookmarkStart w:id="257" w:name="_Toc318318693"/>
      <w:bookmarkStart w:id="258" w:name="_Toc373513363"/>
      <w:bookmarkStart w:id="259" w:name="_Toc127151540"/>
      <w:bookmarkStart w:id="260" w:name="_Toc127151741"/>
      <w:bookmarkStart w:id="261" w:name="_Toc127161454"/>
      <w:bookmarkStart w:id="262" w:name="_Toc142311042"/>
      <w:bookmarkStart w:id="263" w:name="_Toc149720833"/>
      <w:bookmarkStart w:id="264" w:name="_Toc150480778"/>
      <w:bookmarkStart w:id="265" w:name="_Toc150509291"/>
      <w:bookmarkStart w:id="266" w:name="_Toc150774640"/>
      <w:bookmarkStart w:id="267" w:name="_Toc150774745"/>
      <w:bookmarkStart w:id="268" w:name="_Toc151190167"/>
      <w:bookmarkStart w:id="269" w:name="_Toc151193638"/>
      <w:bookmarkStart w:id="270" w:name="_Toc151193710"/>
      <w:bookmarkStart w:id="271" w:name="_Toc151193782"/>
      <w:bookmarkStart w:id="272" w:name="_Toc151193854"/>
      <w:bookmarkStart w:id="273" w:name="_Toc151193928"/>
      <w:bookmarkStart w:id="274" w:name="_Toc164229235"/>
      <w:bookmarkStart w:id="275" w:name="_Toc164229381"/>
      <w:bookmarkStart w:id="276" w:name="_Toc164351634"/>
      <w:bookmarkStart w:id="277" w:name="_Toc164608654"/>
      <w:bookmarkStart w:id="278" w:name="_Toc164608809"/>
      <w:bookmarkStart w:id="279" w:name="_Toc432430459"/>
      <w:bookmarkStart w:id="280" w:name="_Toc443397185"/>
      <w:bookmarkStart w:id="281" w:name="_Toc443397249"/>
      <w:bookmarkStart w:id="282" w:name="_Toc443481351"/>
      <w:r>
        <w:rPr>
          <w:color w:val="auto"/>
          <w:highlight w:val="none"/>
        </w:rPr>
        <w:t>21.组建</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color w:val="auto"/>
          <w:highlight w:val="none"/>
        </w:rPr>
        <w:t>磋商小组</w:t>
      </w:r>
      <w:bookmarkEnd w:id="279"/>
      <w:bookmarkEnd w:id="280"/>
      <w:bookmarkEnd w:id="281"/>
      <w:bookmarkEnd w:id="282"/>
    </w:p>
    <w:p>
      <w:pPr>
        <w:pStyle w:val="12"/>
        <w:ind w:firstLine="480"/>
        <w:rPr>
          <w:color w:val="auto"/>
          <w:highlight w:val="none"/>
        </w:rPr>
      </w:pPr>
      <w:bookmarkStart w:id="283" w:name="_Toc520356166"/>
      <w:r>
        <w:rPr>
          <w:color w:val="auto"/>
          <w:highlight w:val="none"/>
        </w:rPr>
        <w:t>21.1采购人应当根据项目情况依法组建磋商小组。磋商小组由采购人代表和评审专家共3人以上单数组成，其中评审专家人数不得少于磋商小组成员总数的2/3。采购人代表不得以评审专家身份参加本部门或本单位采购项目的评审。</w:t>
      </w:r>
    </w:p>
    <w:p>
      <w:pPr>
        <w:pStyle w:val="12"/>
        <w:ind w:firstLine="480"/>
        <w:rPr>
          <w:color w:val="auto"/>
          <w:spacing w:val="-4"/>
          <w:highlight w:val="none"/>
          <w:bdr w:val="single" w:color="auto" w:sz="4" w:space="0"/>
        </w:rPr>
      </w:pPr>
      <w:r>
        <w:rPr>
          <w:color w:val="auto"/>
          <w:highlight w:val="none"/>
        </w:rPr>
        <w:t>21.2磋商小组成员应当按照客观、公正、审慎的原则，根据磋商文件规定的评审程序、评审方法和评审标准进行独立评审</w:t>
      </w:r>
      <w:r>
        <w:rPr>
          <w:snapToGrid w:val="0"/>
          <w:color w:val="auto"/>
          <w:szCs w:val="21"/>
          <w:highlight w:val="none"/>
        </w:rPr>
        <w:t>。</w:t>
      </w:r>
    </w:p>
    <w:p>
      <w:pPr>
        <w:rPr>
          <w:color w:val="auto"/>
          <w:highlight w:val="none"/>
        </w:rPr>
      </w:pPr>
      <w:bookmarkStart w:id="284" w:name="_Toc127151541"/>
      <w:bookmarkStart w:id="285" w:name="_Toc127151742"/>
      <w:bookmarkStart w:id="286" w:name="_Toc142311043"/>
      <w:bookmarkStart w:id="287" w:name="_Toc149720834"/>
      <w:bookmarkStart w:id="288" w:name="_Toc164229236"/>
      <w:bookmarkStart w:id="289" w:name="_Toc150480779"/>
      <w:bookmarkStart w:id="290" w:name="_Toc318318694"/>
      <w:bookmarkStart w:id="291" w:name="_Toc150774641"/>
      <w:bookmarkStart w:id="292" w:name="_Toc150774746"/>
      <w:bookmarkStart w:id="293" w:name="_Toc151190168"/>
      <w:bookmarkStart w:id="294" w:name="_Toc151193639"/>
      <w:bookmarkStart w:id="295" w:name="_Toc151193711"/>
      <w:bookmarkStart w:id="296" w:name="_Toc151193783"/>
      <w:bookmarkStart w:id="297" w:name="_Toc164229382"/>
      <w:bookmarkStart w:id="298" w:name="_Toc164351635"/>
      <w:bookmarkStart w:id="299" w:name="_Toc127161455"/>
      <w:bookmarkStart w:id="300" w:name="_Toc164608655"/>
      <w:bookmarkStart w:id="301" w:name="_Toc164608810"/>
      <w:bookmarkStart w:id="302" w:name="_Toc195842906"/>
      <w:bookmarkStart w:id="303" w:name="_Toc226309785"/>
      <w:bookmarkStart w:id="304" w:name="_Toc226337237"/>
      <w:bookmarkStart w:id="305" w:name="_Toc226965814"/>
      <w:bookmarkStart w:id="306" w:name="_Toc264969231"/>
      <w:bookmarkStart w:id="307" w:name="_Toc265228379"/>
      <w:bookmarkStart w:id="308" w:name="_Toc305983654"/>
      <w:bookmarkStart w:id="309" w:name="_Toc305983808"/>
      <w:bookmarkStart w:id="310" w:name="_Toc316402803"/>
      <w:bookmarkStart w:id="311" w:name="_Toc316402998"/>
      <w:bookmarkStart w:id="312" w:name="_Toc316403216"/>
      <w:bookmarkStart w:id="313" w:name="_Toc318318324"/>
      <w:bookmarkStart w:id="314" w:name="_Toc373513364"/>
      <w:bookmarkStart w:id="315" w:name="_Toc150509292"/>
      <w:bookmarkStart w:id="316" w:name="_Toc151193855"/>
      <w:bookmarkStart w:id="317" w:name="_Toc151193929"/>
      <w:bookmarkStart w:id="318" w:name="_Toc226965731"/>
      <w:bookmarkStart w:id="319" w:name="_Toc432430460"/>
      <w:bookmarkStart w:id="320" w:name="_Toc443397186"/>
      <w:bookmarkStart w:id="321" w:name="_Toc443397250"/>
      <w:bookmarkStart w:id="322" w:name="_Toc443481352"/>
      <w:r>
        <w:rPr>
          <w:color w:val="auto"/>
          <w:highlight w:val="none"/>
        </w:rPr>
        <w:t>22.响应文件的初审。</w:t>
      </w:r>
    </w:p>
    <w:p>
      <w:pPr>
        <w:rPr>
          <w:color w:val="auto"/>
          <w:highlight w:val="none"/>
        </w:rPr>
      </w:pPr>
      <w:r>
        <w:rPr>
          <w:color w:val="auto"/>
          <w:highlight w:val="none"/>
        </w:rPr>
        <w:t>22.1初审分为资格性检查和符合性检查。</w:t>
      </w:r>
    </w:p>
    <w:p>
      <w:pPr>
        <w:rPr>
          <w:color w:val="auto"/>
          <w:highlight w:val="none"/>
        </w:rPr>
      </w:pPr>
      <w:r>
        <w:rPr>
          <w:color w:val="auto"/>
          <w:highlight w:val="none"/>
        </w:rPr>
        <w:t>1）资格性检查。依据法律法规和磋商采购文件的规定，对响应文件中的资格证明文件、磋商保证金等进行审查，以确定供应商是否具备磋商资格。</w:t>
      </w:r>
    </w:p>
    <w:p>
      <w:pPr>
        <w:rPr>
          <w:color w:val="auto"/>
          <w:highlight w:val="none"/>
        </w:rPr>
      </w:pPr>
      <w:r>
        <w:rPr>
          <w:color w:val="auto"/>
          <w:highlight w:val="none"/>
        </w:rPr>
        <w:t>2）符合性检查。依据磋商采购文件的规定，从响应文件的有效性、完整性和对磋商采购文件的响应程度进行审查，以确定响应文件是否对磋商采购文件的实质性要求作出响应。</w:t>
      </w:r>
    </w:p>
    <w:p>
      <w:pPr>
        <w:rPr>
          <w:color w:val="auto"/>
          <w:highlight w:val="none"/>
        </w:rPr>
      </w:pPr>
      <w:r>
        <w:rPr>
          <w:color w:val="auto"/>
          <w:highlight w:val="none"/>
        </w:rPr>
        <w:t>22.2响应文件的澄清。</w:t>
      </w:r>
    </w:p>
    <w:p>
      <w:pPr>
        <w:rPr>
          <w:snapToGrid w:val="0"/>
          <w:color w:val="auto"/>
          <w:highlight w:val="none"/>
        </w:rPr>
      </w:pPr>
      <w:r>
        <w:rPr>
          <w:color w:val="auto"/>
          <w:highlight w:val="none"/>
        </w:rPr>
        <w:t>1）磋商小组在对响应文件的有效性、完整性和响应程度进行审查时，可以要求供应商对响应文件中含义不明确、同类问题表述不一致或者有明显文字和计算错误的内容等作出必要的</w:t>
      </w:r>
      <w:r>
        <w:rPr>
          <w:snapToGrid w:val="0"/>
          <w:color w:val="auto"/>
          <w:highlight w:val="none"/>
        </w:rPr>
        <w:t>澄清、说明或者更正</w:t>
      </w:r>
      <w:r>
        <w:rPr>
          <w:color w:val="auto"/>
          <w:highlight w:val="none"/>
        </w:rPr>
        <w:t>。</w:t>
      </w:r>
      <w:r>
        <w:rPr>
          <w:snapToGrid w:val="0"/>
          <w:color w:val="auto"/>
          <w:highlight w:val="none"/>
        </w:rPr>
        <w:t>供应商的澄清、说明或者更正不得超出响应文件的范围或者改变响应文件的实质性内容。</w:t>
      </w:r>
    </w:p>
    <w:p>
      <w:pPr>
        <w:rPr>
          <w:color w:val="auto"/>
          <w:highlight w:val="none"/>
        </w:rPr>
      </w:pPr>
      <w:r>
        <w:rPr>
          <w:color w:val="auto"/>
          <w:highlight w:val="none"/>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rPr>
          <w:color w:val="auto"/>
          <w:highlight w:val="none"/>
        </w:rPr>
      </w:pPr>
      <w:r>
        <w:rPr>
          <w:color w:val="auto"/>
          <w:highlight w:val="none"/>
        </w:rPr>
        <w:t>3）澄清文件将作为响应文件内容的一部分。</w:t>
      </w:r>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Pr>
        <w:rPr>
          <w:color w:val="auto"/>
          <w:highlight w:val="none"/>
        </w:rPr>
      </w:pPr>
      <w:bookmarkStart w:id="323" w:name="_Toc226965732"/>
      <w:bookmarkStart w:id="324" w:name="_Toc164229237"/>
      <w:bookmarkStart w:id="325" w:name="_Toc164229383"/>
      <w:bookmarkStart w:id="326" w:name="_Toc164351636"/>
      <w:bookmarkStart w:id="327" w:name="_Toc164608656"/>
      <w:bookmarkStart w:id="328" w:name="_Toc164608811"/>
      <w:bookmarkStart w:id="329" w:name="_Toc195842907"/>
      <w:bookmarkStart w:id="330" w:name="_Toc226309786"/>
      <w:bookmarkStart w:id="331" w:name="_Toc226337238"/>
      <w:bookmarkStart w:id="332" w:name="_Toc226965815"/>
      <w:bookmarkStart w:id="333" w:name="_Toc264969232"/>
      <w:bookmarkStart w:id="334" w:name="_Toc265228380"/>
      <w:bookmarkStart w:id="335" w:name="_Toc305983655"/>
      <w:bookmarkStart w:id="336" w:name="_Toc305983809"/>
      <w:bookmarkStart w:id="337" w:name="_Toc316402804"/>
      <w:bookmarkStart w:id="338" w:name="_Toc316402999"/>
      <w:bookmarkStart w:id="339" w:name="_Toc316403217"/>
      <w:bookmarkStart w:id="340" w:name="_Toc318318325"/>
      <w:bookmarkStart w:id="341" w:name="_Toc373513365"/>
      <w:bookmarkStart w:id="342" w:name="_Toc318318695"/>
      <w:bookmarkStart w:id="343" w:name="_Toc127151542"/>
      <w:bookmarkStart w:id="344" w:name="_Toc127151743"/>
      <w:bookmarkStart w:id="345" w:name="_Toc127161456"/>
      <w:bookmarkStart w:id="346" w:name="_Toc142311044"/>
      <w:bookmarkStart w:id="347" w:name="_Toc149720835"/>
      <w:bookmarkStart w:id="348" w:name="_Toc150480780"/>
      <w:bookmarkStart w:id="349" w:name="_Toc150509293"/>
      <w:bookmarkStart w:id="350" w:name="_Toc151190169"/>
      <w:bookmarkStart w:id="351" w:name="_Toc151193640"/>
      <w:bookmarkStart w:id="352" w:name="_Toc151193712"/>
      <w:bookmarkStart w:id="353" w:name="_Toc151193784"/>
      <w:bookmarkStart w:id="354" w:name="_Toc151193856"/>
      <w:bookmarkStart w:id="355" w:name="_Toc151193930"/>
      <w:bookmarkStart w:id="356" w:name="_Toc150774642"/>
      <w:bookmarkStart w:id="357" w:name="_Toc150774747"/>
      <w:bookmarkStart w:id="358" w:name="_Toc432430461"/>
      <w:bookmarkStart w:id="359" w:name="_Toc443397187"/>
      <w:bookmarkStart w:id="360" w:name="_Toc443397251"/>
      <w:bookmarkStart w:id="361" w:name="_Toc443481353"/>
      <w:bookmarkStart w:id="362" w:name="_Toc520356167"/>
      <w:r>
        <w:rPr>
          <w:color w:val="auto"/>
          <w:highlight w:val="none"/>
        </w:rPr>
        <w:t>23.响应偏离与非实质性响应</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rPr>
          <w:color w:val="auto"/>
          <w:highlight w:val="none"/>
        </w:rPr>
      </w:pPr>
      <w:r>
        <w:rPr>
          <w:color w:val="auto"/>
          <w:highlight w:val="none"/>
        </w:rPr>
        <w:t>23.1对于响应文件中不构成实质性偏差的不正规、不一致或不规范，磋商小组可以接受，但这种接受不能损害或影响任何谈判供应商的相对排序。</w:t>
      </w:r>
    </w:p>
    <w:p>
      <w:pPr>
        <w:rPr>
          <w:color w:val="auto"/>
          <w:highlight w:val="none"/>
        </w:rPr>
      </w:pPr>
      <w:r>
        <w:rPr>
          <w:color w:val="auto"/>
          <w:highlight w:val="none"/>
        </w:rPr>
        <w:t>23.2在磋商之前，磋商小组要根据本须知的规定审查每份响应文件是否实质性响应了磋商采购文件的要求。实质性响应磋商采购文件，是指响应文件内容与磋商采购文件的全部实质性要求条款、条件和规格相符，没有重大偏离。对关键条款的偏离、保留和反对，将被认为是实质上的偏离。磋商小组决定响应文件的有效性只根据响应文件本身的内容，而不寻求外部的证据。</w:t>
      </w:r>
    </w:p>
    <w:p>
      <w:pPr>
        <w:rPr>
          <w:color w:val="auto"/>
          <w:highlight w:val="none"/>
        </w:rPr>
      </w:pPr>
      <w:r>
        <w:rPr>
          <w:color w:val="auto"/>
          <w:highlight w:val="none"/>
        </w:rPr>
        <w:t>23.3</w:t>
      </w:r>
      <w:r>
        <w:rPr>
          <w:snapToGrid w:val="0"/>
          <w:color w:val="auto"/>
          <w:szCs w:val="21"/>
          <w:highlight w:val="none"/>
        </w:rPr>
        <w:t>未实质性响应磋商采购文件的响应文件按无效响应处理，磋商小组应当告知提交响应文件的供应商。</w:t>
      </w:r>
      <w:r>
        <w:rPr>
          <w:color w:val="auto"/>
          <w:highlight w:val="none"/>
        </w:rPr>
        <w:t>供应商不得通过修正或撤销不符合要求的偏离或保留从而使其成为实质性响应的响应文件。如发现下列情况之一的，其响应文件无效：</w:t>
      </w:r>
    </w:p>
    <w:bookmarkEnd w:id="362"/>
    <w:p>
      <w:pPr>
        <w:rPr>
          <w:color w:val="auto"/>
          <w:highlight w:val="none"/>
        </w:rPr>
      </w:pPr>
      <w:bookmarkStart w:id="363" w:name="_Toc226337239"/>
      <w:bookmarkStart w:id="364" w:name="_Toc164229384"/>
      <w:bookmarkStart w:id="365" w:name="_Toc226965733"/>
      <w:bookmarkStart w:id="366" w:name="_Toc226965816"/>
      <w:bookmarkStart w:id="367" w:name="_Toc264969233"/>
      <w:bookmarkStart w:id="368" w:name="_Toc265228381"/>
      <w:bookmarkStart w:id="369" w:name="_Toc305983656"/>
      <w:bookmarkStart w:id="370" w:name="_Toc305983810"/>
      <w:bookmarkStart w:id="371" w:name="_Toc127161457"/>
      <w:bookmarkStart w:id="372" w:name="_Toc316403000"/>
      <w:bookmarkStart w:id="373" w:name="_Toc316403218"/>
      <w:bookmarkStart w:id="374" w:name="_Toc318318326"/>
      <w:bookmarkStart w:id="375" w:name="_Toc318318696"/>
      <w:bookmarkStart w:id="376" w:name="_Toc150774748"/>
      <w:bookmarkStart w:id="377" w:name="_Toc127151543"/>
      <w:bookmarkStart w:id="378" w:name="_Toc316402805"/>
      <w:bookmarkStart w:id="379" w:name="_Toc142311045"/>
      <w:bookmarkStart w:id="380" w:name="_Toc149720836"/>
      <w:bookmarkStart w:id="381" w:name="_Toc150480781"/>
      <w:bookmarkStart w:id="382" w:name="_Toc150509294"/>
      <w:bookmarkStart w:id="383" w:name="_Toc150774643"/>
      <w:bookmarkStart w:id="384" w:name="_Toc127151744"/>
      <w:bookmarkStart w:id="385" w:name="_Toc164351637"/>
      <w:bookmarkStart w:id="386" w:name="_Toc151190170"/>
      <w:bookmarkStart w:id="387" w:name="_Toc151193641"/>
      <w:bookmarkStart w:id="388" w:name="_Toc151193713"/>
      <w:bookmarkStart w:id="389" w:name="_Toc151193785"/>
      <w:bookmarkStart w:id="390" w:name="_Toc151193857"/>
      <w:bookmarkStart w:id="391" w:name="_Toc164229238"/>
      <w:bookmarkStart w:id="392" w:name="_Toc151193931"/>
      <w:bookmarkStart w:id="393" w:name="_Toc164608657"/>
      <w:bookmarkStart w:id="394" w:name="_Toc164608812"/>
      <w:bookmarkStart w:id="395" w:name="_Toc195842908"/>
      <w:bookmarkStart w:id="396" w:name="_Toc226309787"/>
      <w:r>
        <w:rPr>
          <w:color w:val="auto"/>
          <w:highlight w:val="none"/>
        </w:rPr>
        <w:t>（1）最后报价超出项目采购预算；</w:t>
      </w:r>
    </w:p>
    <w:p>
      <w:pPr>
        <w:rPr>
          <w:color w:val="auto"/>
          <w:highlight w:val="none"/>
        </w:rPr>
      </w:pPr>
      <w:r>
        <w:rPr>
          <w:color w:val="auto"/>
          <w:highlight w:val="none"/>
        </w:rPr>
        <w:t>（2）最后报价小于</w:t>
      </w:r>
      <w:r>
        <w:rPr>
          <w:rFonts w:hint="eastAsia"/>
          <w:color w:val="auto"/>
          <w:highlight w:val="none"/>
        </w:rPr>
        <w:t>或</w:t>
      </w:r>
      <w:r>
        <w:rPr>
          <w:color w:val="auto"/>
          <w:highlight w:val="none"/>
        </w:rPr>
        <w:t>等于零，或报价低于成本价且为恶性竞争的；</w:t>
      </w:r>
    </w:p>
    <w:p>
      <w:pPr>
        <w:rPr>
          <w:color w:val="auto"/>
          <w:highlight w:val="none"/>
        </w:rPr>
      </w:pPr>
      <w:r>
        <w:rPr>
          <w:color w:val="auto"/>
          <w:highlight w:val="none"/>
        </w:rPr>
        <w:t>（3）对同一货物/服务的报价不唯一，或</w:t>
      </w:r>
      <w:r>
        <w:rPr>
          <w:color w:val="auto"/>
          <w:kern w:val="24"/>
          <w:highlight w:val="none"/>
        </w:rPr>
        <w:t>以可调整的价格提交的；</w:t>
      </w:r>
    </w:p>
    <w:p>
      <w:pPr>
        <w:rPr>
          <w:color w:val="auto"/>
          <w:highlight w:val="none"/>
        </w:rPr>
      </w:pPr>
      <w:r>
        <w:rPr>
          <w:color w:val="auto"/>
          <w:highlight w:val="none"/>
        </w:rPr>
        <w:t>（</w:t>
      </w:r>
      <w:r>
        <w:rPr>
          <w:rFonts w:hint="eastAsia"/>
          <w:color w:val="auto"/>
          <w:highlight w:val="none"/>
        </w:rPr>
        <w:t>4</w:t>
      </w:r>
      <w:r>
        <w:rPr>
          <w:color w:val="auto"/>
          <w:highlight w:val="none"/>
        </w:rPr>
        <w:t>）响应文件采用活页方式装订的；</w:t>
      </w:r>
    </w:p>
    <w:p>
      <w:pPr>
        <w:rPr>
          <w:color w:val="auto"/>
          <w:highlight w:val="none"/>
        </w:rPr>
      </w:pPr>
      <w:r>
        <w:rPr>
          <w:color w:val="auto"/>
          <w:highlight w:val="none"/>
        </w:rPr>
        <w:t>（</w:t>
      </w:r>
      <w:r>
        <w:rPr>
          <w:rFonts w:hint="eastAsia"/>
          <w:color w:val="auto"/>
          <w:highlight w:val="none"/>
        </w:rPr>
        <w:t>5</w:t>
      </w:r>
      <w:r>
        <w:rPr>
          <w:color w:val="auto"/>
          <w:highlight w:val="none"/>
        </w:rPr>
        <w:t>）未按照采购文件规定进行签署、盖章的；</w:t>
      </w:r>
    </w:p>
    <w:p>
      <w:pPr>
        <w:rPr>
          <w:color w:val="auto"/>
          <w:highlight w:val="none"/>
        </w:rPr>
      </w:pPr>
      <w:r>
        <w:rPr>
          <w:color w:val="auto"/>
          <w:highlight w:val="none"/>
        </w:rPr>
        <w:t>（</w:t>
      </w:r>
      <w:r>
        <w:rPr>
          <w:rFonts w:hint="eastAsia"/>
          <w:color w:val="auto"/>
          <w:highlight w:val="none"/>
        </w:rPr>
        <w:t>6</w:t>
      </w:r>
      <w:r>
        <w:rPr>
          <w:color w:val="auto"/>
          <w:highlight w:val="none"/>
        </w:rPr>
        <w:t>）响应有效期不足的；</w:t>
      </w:r>
    </w:p>
    <w:p>
      <w:pPr>
        <w:rPr>
          <w:color w:val="auto"/>
          <w:highlight w:val="none"/>
        </w:rPr>
      </w:pPr>
      <w:r>
        <w:rPr>
          <w:color w:val="auto"/>
          <w:highlight w:val="none"/>
        </w:rPr>
        <w:t>（</w:t>
      </w:r>
      <w:r>
        <w:rPr>
          <w:rFonts w:hint="eastAsia"/>
          <w:color w:val="auto"/>
          <w:highlight w:val="none"/>
        </w:rPr>
        <w:t>7</w:t>
      </w:r>
      <w:r>
        <w:rPr>
          <w:color w:val="auto"/>
          <w:highlight w:val="none"/>
        </w:rPr>
        <w:t>）</w:t>
      </w:r>
      <w:r>
        <w:rPr>
          <w:color w:val="auto"/>
          <w:highlight w:val="none"/>
        </w:rPr>
        <w:t>不</w:t>
      </w:r>
      <w:r>
        <w:rPr>
          <w:rFonts w:hint="eastAsia"/>
          <w:color w:val="auto"/>
          <w:highlight w:val="none"/>
        </w:rPr>
        <w:t>满足采购</w:t>
      </w:r>
      <w:r>
        <w:rPr>
          <w:color w:val="auto"/>
          <w:highlight w:val="none"/>
        </w:rPr>
        <w:t>文件中规定</w:t>
      </w:r>
      <w:r>
        <w:rPr>
          <w:rFonts w:hint="eastAsia"/>
          <w:color w:val="auto"/>
          <w:highlight w:val="none"/>
        </w:rPr>
        <w:t>的合格供应商要求</w:t>
      </w:r>
      <w:r>
        <w:rPr>
          <w:rFonts w:hint="eastAsia" w:ascii="宋体" w:hAnsi="宋体"/>
          <w:color w:val="auto"/>
          <w:highlight w:val="none"/>
        </w:rPr>
        <w:t>或未提供有效证明文件</w:t>
      </w:r>
      <w:r>
        <w:rPr>
          <w:color w:val="auto"/>
          <w:highlight w:val="none"/>
        </w:rPr>
        <w:t>的</w:t>
      </w:r>
      <w:r>
        <w:rPr>
          <w:color w:val="auto"/>
          <w:highlight w:val="none"/>
        </w:rPr>
        <w:t>；</w:t>
      </w:r>
    </w:p>
    <w:p>
      <w:pPr>
        <w:rPr>
          <w:color w:val="auto"/>
          <w:highlight w:val="none"/>
        </w:rPr>
      </w:pPr>
      <w:r>
        <w:rPr>
          <w:color w:val="auto"/>
          <w:highlight w:val="none"/>
        </w:rPr>
        <w:t>（</w:t>
      </w:r>
      <w:r>
        <w:rPr>
          <w:rFonts w:hint="eastAsia"/>
          <w:color w:val="auto"/>
          <w:highlight w:val="none"/>
        </w:rPr>
        <w:t>8</w:t>
      </w:r>
      <w:r>
        <w:rPr>
          <w:color w:val="auto"/>
          <w:highlight w:val="none"/>
        </w:rPr>
        <w:t>）响应文件附有采购人不能接受的条件的；</w:t>
      </w:r>
    </w:p>
    <w:p>
      <w:pPr>
        <w:rPr>
          <w:color w:val="auto"/>
          <w:highlight w:val="none"/>
        </w:rPr>
      </w:pPr>
      <w:r>
        <w:rPr>
          <w:color w:val="auto"/>
          <w:highlight w:val="none"/>
        </w:rPr>
        <w:t>（</w:t>
      </w:r>
      <w:r>
        <w:rPr>
          <w:rFonts w:hint="eastAsia"/>
          <w:color w:val="auto"/>
          <w:highlight w:val="none"/>
        </w:rPr>
        <w:t>9</w:t>
      </w:r>
      <w:r>
        <w:rPr>
          <w:color w:val="auto"/>
          <w:highlight w:val="none"/>
        </w:rPr>
        <w:t>）响应文件的技术响应与事实不符或提供虚假或失实资料的；</w:t>
      </w:r>
    </w:p>
    <w:p>
      <w:pPr>
        <w:rPr>
          <w:color w:val="auto"/>
          <w:highlight w:val="none"/>
        </w:rPr>
      </w:pPr>
      <w:r>
        <w:rPr>
          <w:color w:val="auto"/>
          <w:highlight w:val="none"/>
        </w:rPr>
        <w:t>（1</w:t>
      </w:r>
      <w:r>
        <w:rPr>
          <w:rFonts w:hint="eastAsia"/>
          <w:color w:val="auto"/>
          <w:highlight w:val="none"/>
        </w:rPr>
        <w:t>0</w:t>
      </w:r>
      <w:r>
        <w:rPr>
          <w:color w:val="auto"/>
          <w:highlight w:val="none"/>
        </w:rPr>
        <w:t>）不符合法律、法规或采购文件中规定的其他实质性要求，以及其他磋商小组认为响应文件不能实质上满足采购文件要求的。</w:t>
      </w:r>
    </w:p>
    <w:p>
      <w:pPr>
        <w:rPr>
          <w:color w:val="auto"/>
          <w:highlight w:val="none"/>
        </w:rPr>
      </w:pPr>
      <w:bookmarkStart w:id="397" w:name="_Toc373513366"/>
      <w:r>
        <w:rPr>
          <w:color w:val="auto"/>
          <w:highlight w:val="none"/>
        </w:rPr>
        <w:t xml:space="preserve">24. </w:t>
      </w:r>
      <w:bookmarkStart w:id="398" w:name="_Toc443397252"/>
      <w:bookmarkStart w:id="399" w:name="_Toc443481354"/>
      <w:bookmarkStart w:id="400" w:name="_Toc443397188"/>
      <w:bookmarkStart w:id="401" w:name="_Toc432430462"/>
      <w:r>
        <w:rPr>
          <w:color w:val="auto"/>
          <w:highlight w:val="none"/>
        </w:rPr>
        <w:t>磋商</w:t>
      </w:r>
      <w:bookmarkEnd w:id="398"/>
      <w:bookmarkEnd w:id="399"/>
      <w:bookmarkEnd w:id="400"/>
      <w:bookmarkEnd w:id="401"/>
      <w:r>
        <w:rPr>
          <w:color w:val="auto"/>
          <w:highlight w:val="none"/>
        </w:rPr>
        <w:t>和最后报价</w:t>
      </w:r>
    </w:p>
    <w:p>
      <w:pPr>
        <w:rPr>
          <w:color w:val="auto"/>
          <w:highlight w:val="none"/>
        </w:rPr>
      </w:pPr>
      <w:r>
        <w:rPr>
          <w:color w:val="auto"/>
          <w:highlight w:val="none"/>
        </w:rPr>
        <w:t>24.1磋商小组所有成员应当集中与单一供应商分别进行磋商，并给予所有参加磋商的供应商平等的磋商机会。本项目以供应商递交响应文件的顺序确定磋商顺序。</w:t>
      </w:r>
    </w:p>
    <w:p>
      <w:pPr>
        <w:rPr>
          <w:snapToGrid w:val="0"/>
          <w:color w:val="auto"/>
          <w:highlight w:val="none"/>
        </w:rPr>
      </w:pPr>
      <w:r>
        <w:rPr>
          <w:color w:val="auto"/>
          <w:highlight w:val="none"/>
        </w:rPr>
        <w:t>24.2</w:t>
      </w:r>
      <w:r>
        <w:rPr>
          <w:snapToGrid w:val="0"/>
          <w:color w:val="auto"/>
          <w:highlight w:val="none"/>
        </w:rPr>
        <w:t>在磋商过程中，磋商小组可以根据磋商采购文件和磋商情况实质性变动采购需求中的技术、服务要求以及合同草案条款，但不得变动磋商采购文件中的其他内容。实质性变动的内容，须经采购人代表确认。</w:t>
      </w:r>
    </w:p>
    <w:p>
      <w:pPr>
        <w:rPr>
          <w:snapToGrid w:val="0"/>
          <w:color w:val="auto"/>
          <w:highlight w:val="none"/>
        </w:rPr>
      </w:pPr>
      <w:r>
        <w:rPr>
          <w:snapToGrid w:val="0"/>
          <w:color w:val="auto"/>
          <w:highlight w:val="none"/>
        </w:rPr>
        <w:t>对磋商采购文件作出的实质性变动是磋商采购文件的有效组成部分，磋商小组应当及时以书面形式同时通知所有参加磋商的供应商。</w:t>
      </w:r>
    </w:p>
    <w:p>
      <w:pPr>
        <w:rPr>
          <w:snapToGrid w:val="0"/>
          <w:color w:val="auto"/>
          <w:highlight w:val="none"/>
        </w:rPr>
      </w:pPr>
      <w:r>
        <w:rPr>
          <w:snapToGrid w:val="0"/>
          <w:color w:val="auto"/>
          <w:highlight w:val="none"/>
        </w:rPr>
        <w:t>供应商应当按照磋商采购文件的变动情况和磋商小组的要求重新提交响应文件，并由其法定代表人或授权代表签字或者加盖公章。由授权代表签字的，应当附法定代表人授权书。供应商为自然人的，应当由本人签字并附身份证明。</w:t>
      </w:r>
    </w:p>
    <w:p>
      <w:pPr>
        <w:rPr>
          <w:b/>
          <w:color w:val="auto"/>
          <w:highlight w:val="none"/>
        </w:rPr>
      </w:pPr>
      <w:r>
        <w:rPr>
          <w:color w:val="auto"/>
          <w:highlight w:val="none"/>
        </w:rPr>
        <w:t>24.3磋商结束后，磋商小组将要求所有实质性响应的供应商在规定时间内提交最后报价。</w:t>
      </w:r>
      <w:r>
        <w:rPr>
          <w:bCs/>
          <w:color w:val="auto"/>
          <w:szCs w:val="24"/>
          <w:highlight w:val="none"/>
        </w:rPr>
        <w:t>最后报价是供应商响应文件的有效组成部分。</w:t>
      </w:r>
      <w:r>
        <w:rPr>
          <w:color w:val="auto"/>
          <w:highlight w:val="none"/>
        </w:rPr>
        <w:t>（</w:t>
      </w:r>
      <w:r>
        <w:rPr>
          <w:b/>
          <w:color w:val="auto"/>
          <w:highlight w:val="none"/>
        </w:rPr>
        <w:t>供应商需提前准备空白签署盖章的最后报价表，以便现场填写最后报价）</w:t>
      </w:r>
    </w:p>
    <w:p>
      <w:pPr>
        <w:rPr>
          <w:color w:val="auto"/>
          <w:highlight w:val="none"/>
        </w:rPr>
      </w:pPr>
      <w:r>
        <w:rPr>
          <w:color w:val="auto"/>
          <w:highlight w:val="none"/>
        </w:rPr>
        <w:t>24.4已提交响应文件的供应商，在提交最后报价之前，可以根据磋商情况退出磋商。采购人应当退还退出磋商的供应商的磋商保证金。</w:t>
      </w:r>
    </w:p>
    <w:p>
      <w:pPr>
        <w:rPr>
          <w:color w:val="auto"/>
          <w:highlight w:val="none"/>
        </w:rPr>
      </w:pPr>
      <w:bookmarkStart w:id="402" w:name="_Toc432430463"/>
      <w:bookmarkStart w:id="403" w:name="_Toc443397189"/>
      <w:bookmarkStart w:id="404" w:name="_Toc443397253"/>
      <w:bookmarkStart w:id="405" w:name="_Toc443481355"/>
      <w:r>
        <w:rPr>
          <w:color w:val="auto"/>
          <w:highlight w:val="none"/>
        </w:rPr>
        <w:t>25.比较与评价</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402"/>
      <w:bookmarkEnd w:id="403"/>
      <w:bookmarkEnd w:id="404"/>
      <w:bookmarkEnd w:id="405"/>
    </w:p>
    <w:p>
      <w:pPr>
        <w:rPr>
          <w:color w:val="auto"/>
          <w:highlight w:val="none"/>
        </w:rPr>
      </w:pPr>
      <w:r>
        <w:rPr>
          <w:color w:val="auto"/>
          <w:highlight w:val="none"/>
        </w:rPr>
        <w:t>25.1评审方法：本项目的评审采用综合评分法。综合评分法，是指响应文件满足磋商文件全部实质性要求且按评审因素的量化指标评审得分最高的供应商为成交候选供应商的评审方法。</w:t>
      </w:r>
    </w:p>
    <w:p>
      <w:pPr>
        <w:rPr>
          <w:color w:val="auto"/>
          <w:highlight w:val="none"/>
        </w:rPr>
      </w:pPr>
      <w:r>
        <w:rPr>
          <w:color w:val="auto"/>
          <w:highlight w:val="none"/>
        </w:rPr>
        <w:t>25.2经磋商确定最终采购需求和提交最后报价的供应商后，磋商小组将根据磋商采购文件中规定的评审标准和方法，对所有经过磋商并按要求重新提交响应文件（如有）及最后报价的供应商，就其响应文件和最后报价进行综合评分。本项目的评审办法见本磋商采购文件第五部分。</w:t>
      </w:r>
    </w:p>
    <w:p>
      <w:pPr>
        <w:rPr>
          <w:color w:val="auto"/>
          <w:highlight w:val="none"/>
        </w:rPr>
      </w:pPr>
      <w:bookmarkStart w:id="406" w:name="_Toc226965734"/>
      <w:bookmarkStart w:id="407" w:name="_Toc226965817"/>
      <w:bookmarkStart w:id="408" w:name="_Toc264969234"/>
      <w:bookmarkStart w:id="409" w:name="_Toc265228382"/>
      <w:bookmarkStart w:id="410" w:name="_Toc305983657"/>
      <w:bookmarkStart w:id="411" w:name="_Toc305983811"/>
      <w:bookmarkStart w:id="412" w:name="_Toc316402806"/>
      <w:bookmarkStart w:id="413" w:name="_Toc316403001"/>
      <w:bookmarkStart w:id="414" w:name="_Toc316403219"/>
      <w:bookmarkStart w:id="415" w:name="_Toc164229385"/>
      <w:bookmarkStart w:id="416" w:name="_Toc318318327"/>
      <w:bookmarkStart w:id="417" w:name="_Toc318318697"/>
      <w:bookmarkStart w:id="418" w:name="_Toc373513367"/>
      <w:bookmarkStart w:id="419" w:name="_Toc164351638"/>
      <w:bookmarkStart w:id="420" w:name="_Toc164608658"/>
      <w:bookmarkStart w:id="421" w:name="_Toc127151544"/>
      <w:bookmarkStart w:id="422" w:name="_Toc127151745"/>
      <w:bookmarkStart w:id="423" w:name="_Toc127161458"/>
      <w:bookmarkStart w:id="424" w:name="_Toc142311046"/>
      <w:bookmarkStart w:id="425" w:name="_Toc149720837"/>
      <w:bookmarkStart w:id="426" w:name="_Toc150480782"/>
      <w:bookmarkStart w:id="427" w:name="_Toc150509295"/>
      <w:bookmarkStart w:id="428" w:name="_Toc150774644"/>
      <w:bookmarkStart w:id="429" w:name="_Toc164608813"/>
      <w:bookmarkStart w:id="430" w:name="_Toc151190171"/>
      <w:bookmarkStart w:id="431" w:name="_Toc151193642"/>
      <w:bookmarkStart w:id="432" w:name="_Toc151193714"/>
      <w:bookmarkStart w:id="433" w:name="_Toc151193786"/>
      <w:bookmarkStart w:id="434" w:name="_Toc151193858"/>
      <w:bookmarkStart w:id="435" w:name="_Toc151193932"/>
      <w:bookmarkStart w:id="436" w:name="_Toc150774749"/>
      <w:bookmarkStart w:id="437" w:name="_Toc164229239"/>
      <w:bookmarkStart w:id="438" w:name="_Toc195842909"/>
      <w:bookmarkStart w:id="439" w:name="_Toc226309788"/>
      <w:bookmarkStart w:id="440" w:name="_Toc226337240"/>
      <w:r>
        <w:rPr>
          <w:color w:val="auto"/>
          <w:highlight w:val="none"/>
        </w:rPr>
        <w:t>25.3根据《政府采购促进中小企业发展暂行办法》（财库[2011]181号）的规定，本项目将对小型和微型企业制造的产品或提供的服务的价格给予6%的扣除，用扣除后的价格参与评审打分。</w:t>
      </w:r>
    </w:p>
    <w:p>
      <w:pPr>
        <w:rPr>
          <w:color w:val="auto"/>
          <w:highlight w:val="none"/>
        </w:rPr>
      </w:pPr>
      <w:r>
        <w:rPr>
          <w:color w:val="auto"/>
          <w:highlight w:val="none"/>
        </w:rPr>
        <w:t>25.4根据《关于政府采购支持监狱企业发展有关问题的通知》（财库[2014]68号）的规定，监狱企业视同小型、微型企业。</w:t>
      </w:r>
    </w:p>
    <w:p>
      <w:pPr>
        <w:rPr>
          <w:color w:val="auto"/>
          <w:highlight w:val="none"/>
        </w:rPr>
      </w:pPr>
      <w:bookmarkStart w:id="441" w:name="_Toc443397254"/>
      <w:bookmarkStart w:id="442" w:name="_Toc443397190"/>
      <w:bookmarkStart w:id="443" w:name="_Toc432430464"/>
      <w:bookmarkStart w:id="444" w:name="_Toc443481356"/>
      <w:r>
        <w:rPr>
          <w:color w:val="auto"/>
          <w:highlight w:val="none"/>
        </w:rPr>
        <w:t>26.磋商过程及保密原则</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ind w:firstLine="472"/>
        <w:rPr>
          <w:color w:val="auto"/>
          <w:spacing w:val="-2"/>
          <w:highlight w:val="none"/>
        </w:rPr>
      </w:pPr>
      <w:r>
        <w:rPr>
          <w:color w:val="auto"/>
          <w:spacing w:val="-2"/>
          <w:highlight w:val="none"/>
        </w:rPr>
        <w:t>26.1磋商之后，直到授予成交供应商合同止，凡与本次磋商有关人员对属于审查、澄清、评价和磋商的有关资料以及授标意向等，均不得向供应商或其他无关的人员透露。</w:t>
      </w:r>
    </w:p>
    <w:p>
      <w:pPr>
        <w:rPr>
          <w:color w:val="auto"/>
          <w:highlight w:val="none"/>
        </w:rPr>
      </w:pPr>
      <w:r>
        <w:rPr>
          <w:color w:val="auto"/>
          <w:highlight w:val="none"/>
        </w:rPr>
        <w:t>26.2在磋商期间，供应商试图影响采购单位和校内磋商的任何活动，将导致其磋商被拒绝，并承担相应的法律责任。</w:t>
      </w:r>
    </w:p>
    <w:p>
      <w:pPr>
        <w:rPr>
          <w:color w:val="auto"/>
          <w:highlight w:val="none"/>
        </w:rPr>
      </w:pPr>
      <w:r>
        <w:rPr>
          <w:color w:val="auto"/>
          <w:highlight w:val="none"/>
        </w:rPr>
        <w:t>26.3响应文件一经提交，将不予退还。</w:t>
      </w:r>
    </w:p>
    <w:p>
      <w:pPr>
        <w:rPr>
          <w:color w:val="auto"/>
          <w:highlight w:val="none"/>
        </w:rPr>
      </w:pPr>
      <w:bookmarkStart w:id="445" w:name="_Toc164351640"/>
      <w:bookmarkStart w:id="446" w:name="_Toc164229387"/>
      <w:bookmarkStart w:id="447" w:name="_Toc151193934"/>
      <w:bookmarkStart w:id="448" w:name="_Toc151193716"/>
      <w:bookmarkStart w:id="449" w:name="_Toc142311048"/>
      <w:bookmarkStart w:id="450" w:name="_Toc127151546"/>
      <w:bookmarkStart w:id="451" w:name="_Toc151193788"/>
      <w:bookmarkStart w:id="452" w:name="_Toc127161460"/>
      <w:bookmarkStart w:id="453" w:name="_Toc127151747"/>
      <w:bookmarkStart w:id="454" w:name="_Toc520356170"/>
      <w:bookmarkStart w:id="455" w:name="_Toc164608815"/>
      <w:bookmarkStart w:id="456" w:name="_Ref467307010"/>
      <w:bookmarkStart w:id="457" w:name="_Toc164608660"/>
      <w:bookmarkStart w:id="458" w:name="_Toc195842911"/>
      <w:bookmarkStart w:id="459" w:name="_Toc149720839"/>
      <w:bookmarkStart w:id="460" w:name="_Toc150480784"/>
      <w:bookmarkStart w:id="461" w:name="_Toc150509297"/>
      <w:bookmarkStart w:id="462" w:name="_Toc150774646"/>
      <w:bookmarkStart w:id="463" w:name="_Toc150774751"/>
      <w:bookmarkStart w:id="464" w:name="_Toc151193860"/>
      <w:bookmarkStart w:id="465" w:name="_Toc151193644"/>
      <w:bookmarkStart w:id="466" w:name="_Toc151190173"/>
      <w:bookmarkStart w:id="467" w:name="_Toc164229241"/>
      <w:r>
        <w:rPr>
          <w:color w:val="auto"/>
          <w:highlight w:val="none"/>
        </w:rPr>
        <w:t>27.成交供应商候选人的推荐</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color w:val="auto"/>
          <w:highlight w:val="none"/>
        </w:rPr>
        <w:t>原则</w:t>
      </w:r>
    </w:p>
    <w:p>
      <w:pPr>
        <w:rPr>
          <w:color w:val="auto"/>
          <w:highlight w:val="none"/>
        </w:rPr>
      </w:pPr>
      <w:r>
        <w:rPr>
          <w:color w:val="auto"/>
          <w:highlight w:val="none"/>
        </w:rPr>
        <w:t>27.1磋商小组将根据评审结果，按照综合评审得分由高到低的顺序对实质性响应且提供了最后报价的供应商进行排序，综合评审得分相同的，按最后报价由低到高顺序进行排序，综合评审得分与最后报价均相同的，按技术指标优劣顺序进行排序。</w:t>
      </w:r>
    </w:p>
    <w:p>
      <w:pPr>
        <w:rPr>
          <w:color w:val="auto"/>
          <w:highlight w:val="none"/>
        </w:rPr>
      </w:pPr>
      <w:r>
        <w:rPr>
          <w:color w:val="auto"/>
          <w:highlight w:val="none"/>
        </w:rPr>
        <w:t>27.2磋商小组根据上述供应商排序，依次推荐排序前三名的供应商为</w:t>
      </w:r>
      <w:r>
        <w:rPr>
          <w:snapToGrid w:val="0"/>
          <w:color w:val="auto"/>
          <w:szCs w:val="21"/>
          <w:highlight w:val="none"/>
        </w:rPr>
        <w:t>成交候选供应商</w:t>
      </w:r>
      <w:r>
        <w:rPr>
          <w:color w:val="auto"/>
          <w:highlight w:val="none"/>
        </w:rPr>
        <w:t>（若提交最后报价的供应商</w:t>
      </w:r>
      <w:r>
        <w:rPr>
          <w:rFonts w:hint="eastAsia"/>
          <w:color w:val="auto"/>
          <w:highlight w:val="none"/>
        </w:rPr>
        <w:t>不足3家</w:t>
      </w:r>
      <w:r>
        <w:rPr>
          <w:color w:val="auto"/>
          <w:highlight w:val="none"/>
        </w:rPr>
        <w:t>，则</w:t>
      </w:r>
      <w:r>
        <w:rPr>
          <w:rFonts w:hint="eastAsia"/>
          <w:color w:val="auto"/>
          <w:highlight w:val="none"/>
        </w:rPr>
        <w:t>按实际数量推荐</w:t>
      </w:r>
      <w:r>
        <w:rPr>
          <w:color w:val="auto"/>
          <w:highlight w:val="none"/>
        </w:rPr>
        <w:t>），</w:t>
      </w:r>
      <w:r>
        <w:rPr>
          <w:snapToGrid w:val="0"/>
          <w:color w:val="auto"/>
          <w:szCs w:val="21"/>
          <w:highlight w:val="none"/>
        </w:rPr>
        <w:t>并编写评审报告。</w:t>
      </w:r>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Style w:val="157"/>
        <w:spacing w:before="120" w:after="120"/>
        <w:rPr>
          <w:color w:val="auto"/>
          <w:highlight w:val="none"/>
        </w:rPr>
      </w:pPr>
      <w:bookmarkStart w:id="468" w:name="_Hlt491765714"/>
      <w:bookmarkEnd w:id="468"/>
      <w:bookmarkStart w:id="469" w:name="_Hlt497729446"/>
      <w:bookmarkEnd w:id="469"/>
      <w:bookmarkStart w:id="470" w:name="_Toc235518472"/>
      <w:bookmarkStart w:id="471" w:name="_Toc239740357"/>
      <w:bookmarkStart w:id="472" w:name="_Toc265738866"/>
      <w:bookmarkStart w:id="473" w:name="_Toc232176278"/>
      <w:bookmarkStart w:id="474" w:name="_Toc232395218"/>
      <w:bookmarkStart w:id="475" w:name="_Toc177817340"/>
      <w:bookmarkStart w:id="476" w:name="_Toc177189241"/>
      <w:bookmarkStart w:id="477" w:name="_Toc176882548"/>
      <w:bookmarkStart w:id="478" w:name="_Toc385992360"/>
      <w:bookmarkStart w:id="479" w:name="_Toc389620199"/>
      <w:bookmarkStart w:id="480" w:name="_Toc492955421"/>
      <w:bookmarkStart w:id="481" w:name="_Toc496324585"/>
      <w:bookmarkStart w:id="482" w:name="_Toc499711049"/>
      <w:bookmarkStart w:id="483" w:name="_Toc500747068"/>
      <w:bookmarkStart w:id="484" w:name="_Toc177995479"/>
      <w:bookmarkStart w:id="485" w:name="_Toc184043047"/>
      <w:bookmarkStart w:id="486" w:name="_Toc500747195"/>
      <w:bookmarkStart w:id="487" w:name="_Toc503063428"/>
      <w:bookmarkStart w:id="488" w:name="_Toc53722846"/>
      <w:bookmarkStart w:id="489" w:name="_Toc70687174"/>
      <w:bookmarkStart w:id="490" w:name="_Toc499711890"/>
      <w:bookmarkStart w:id="491" w:name="_Toc500746972"/>
      <w:r>
        <w:rPr>
          <w:color w:val="auto"/>
          <w:highlight w:val="none"/>
        </w:rPr>
        <w:t>六、</w:t>
      </w:r>
      <w:bookmarkEnd w:id="470"/>
      <w:bookmarkEnd w:id="471"/>
      <w:bookmarkEnd w:id="472"/>
      <w:bookmarkEnd w:id="473"/>
      <w:bookmarkEnd w:id="474"/>
      <w:r>
        <w:rPr>
          <w:color w:val="auto"/>
          <w:highlight w:val="none"/>
        </w:rPr>
        <w:t>确定成交</w:t>
      </w:r>
    </w:p>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rPr>
          <w:color w:val="auto"/>
          <w:highlight w:val="none"/>
        </w:rPr>
      </w:pPr>
      <w:bookmarkStart w:id="492" w:name="_Toc142311049"/>
      <w:bookmarkStart w:id="493" w:name="_Toc149720840"/>
      <w:bookmarkStart w:id="494" w:name="_Toc150480785"/>
      <w:bookmarkStart w:id="495" w:name="_Toc150509298"/>
      <w:bookmarkStart w:id="496" w:name="_Toc150774647"/>
      <w:bookmarkStart w:id="497" w:name="_Toc150774752"/>
      <w:bookmarkStart w:id="498" w:name="_Toc151190174"/>
      <w:bookmarkStart w:id="499" w:name="_Toc151193645"/>
      <w:bookmarkStart w:id="500" w:name="_Toc151193717"/>
      <w:bookmarkStart w:id="501" w:name="_Toc151193789"/>
      <w:bookmarkStart w:id="502" w:name="_Toc151193861"/>
      <w:bookmarkStart w:id="503" w:name="_Toc151193935"/>
      <w:bookmarkStart w:id="504" w:name="_Toc164229242"/>
      <w:bookmarkStart w:id="505" w:name="_Toc164229388"/>
      <w:bookmarkStart w:id="506" w:name="_Toc164351641"/>
      <w:bookmarkStart w:id="507" w:name="_Toc164608661"/>
      <w:bookmarkStart w:id="508" w:name="_Toc164608816"/>
      <w:bookmarkStart w:id="509" w:name="_Toc195842912"/>
      <w:bookmarkStart w:id="510" w:name="_Toc226309791"/>
      <w:bookmarkStart w:id="511" w:name="_Toc226337243"/>
      <w:bookmarkStart w:id="512" w:name="_Toc226965737"/>
      <w:bookmarkStart w:id="513" w:name="_Toc226965820"/>
      <w:bookmarkStart w:id="514" w:name="_Toc264969237"/>
      <w:bookmarkStart w:id="515" w:name="_Toc265228385"/>
      <w:bookmarkStart w:id="516" w:name="_Toc305983660"/>
      <w:bookmarkStart w:id="517" w:name="_Toc305983814"/>
      <w:bookmarkStart w:id="518" w:name="_Toc316402809"/>
      <w:bookmarkStart w:id="519" w:name="_Toc316403004"/>
      <w:bookmarkStart w:id="520" w:name="_Toc316403222"/>
      <w:bookmarkStart w:id="521" w:name="_Toc318318330"/>
      <w:bookmarkStart w:id="522" w:name="_Toc318318700"/>
      <w:bookmarkStart w:id="523" w:name="_Toc373513370"/>
      <w:bookmarkStart w:id="524" w:name="_Toc127151547"/>
      <w:bookmarkStart w:id="525" w:name="_Toc127151748"/>
      <w:bookmarkStart w:id="526" w:name="_Toc127161461"/>
      <w:bookmarkStart w:id="527" w:name="_Toc432430465"/>
      <w:bookmarkStart w:id="528" w:name="_Toc443397191"/>
      <w:bookmarkStart w:id="529" w:name="_Toc443397255"/>
      <w:bookmarkStart w:id="530" w:name="_Toc443481357"/>
      <w:r>
        <w:rPr>
          <w:color w:val="auto"/>
          <w:highlight w:val="none"/>
        </w:rPr>
        <w:t>28.确定成交供应商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rPr>
          <w:color w:val="auto"/>
          <w:highlight w:val="none"/>
        </w:rPr>
      </w:pPr>
      <w:r>
        <w:rPr>
          <w:color w:val="auto"/>
          <w:highlight w:val="none"/>
        </w:rPr>
        <w:t>28.1采购人在收到评审报告后，将从评审报告提出的成交供应商候选人中，按照磋商小组推荐顺序确定成交供应商。</w:t>
      </w:r>
    </w:p>
    <w:p>
      <w:pPr>
        <w:rPr>
          <w:color w:val="auto"/>
          <w:highlight w:val="none"/>
        </w:rPr>
      </w:pPr>
      <w:r>
        <w:rPr>
          <w:color w:val="auto"/>
          <w:highlight w:val="none"/>
        </w:rPr>
        <w:t>28.2采购人将依次审查成交供应商候选人是否有能力令人满意地履行合同。</w:t>
      </w:r>
    </w:p>
    <w:p>
      <w:pPr>
        <w:rPr>
          <w:color w:val="auto"/>
          <w:highlight w:val="none"/>
        </w:rPr>
      </w:pPr>
      <w:r>
        <w:rPr>
          <w:color w:val="auto"/>
          <w:highlight w:val="none"/>
        </w:rPr>
        <w:t>28.3授标决定将考虑供应商的财务、技术、实施和服务支持能力，其基础是审查供应商提交的资格证明文件和其它采购人认为必要的、合适的资料。</w:t>
      </w:r>
    </w:p>
    <w:p>
      <w:pPr>
        <w:rPr>
          <w:color w:val="auto"/>
          <w:highlight w:val="none"/>
        </w:rPr>
      </w:pPr>
      <w:r>
        <w:rPr>
          <w:color w:val="auto"/>
          <w:highlight w:val="none"/>
        </w:rPr>
        <w:t>28.4如果审查没有通过，采购人将拒绝该供应商，并对排序在后的下一个成交供应商候选人能否令人满意地履行合同作类似的审查；如果审查通过，采购人将把合同授予该供应商。</w:t>
      </w:r>
    </w:p>
    <w:p>
      <w:pPr>
        <w:rPr>
          <w:color w:val="auto"/>
          <w:highlight w:val="none"/>
        </w:rPr>
      </w:pPr>
      <w:bookmarkStart w:id="531" w:name="_Toc127151749"/>
      <w:bookmarkStart w:id="532" w:name="_Toc127161462"/>
      <w:bookmarkStart w:id="533" w:name="_Toc142311050"/>
      <w:bookmarkStart w:id="534" w:name="_Toc149720841"/>
      <w:bookmarkStart w:id="535" w:name="_Toc150480786"/>
      <w:bookmarkStart w:id="536" w:name="_Toc150509299"/>
      <w:bookmarkStart w:id="537" w:name="_Toc150774648"/>
      <w:bookmarkStart w:id="538" w:name="_Toc150774753"/>
      <w:bookmarkStart w:id="539" w:name="_Toc151190175"/>
      <w:bookmarkStart w:id="540" w:name="_Toc151193646"/>
      <w:bookmarkStart w:id="541" w:name="_Toc151193718"/>
      <w:bookmarkStart w:id="542" w:name="_Toc151193790"/>
      <w:bookmarkStart w:id="543" w:name="_Toc151193862"/>
      <w:bookmarkStart w:id="544" w:name="_Toc151193936"/>
      <w:bookmarkStart w:id="545" w:name="_Toc164229243"/>
      <w:bookmarkStart w:id="546" w:name="_Toc164229389"/>
      <w:bookmarkStart w:id="547" w:name="_Toc164351642"/>
      <w:bookmarkStart w:id="548" w:name="_Toc164608662"/>
      <w:bookmarkStart w:id="549" w:name="_Toc164608817"/>
      <w:bookmarkStart w:id="550" w:name="_Toc195842913"/>
      <w:bookmarkStart w:id="551" w:name="_Toc373513371"/>
      <w:bookmarkStart w:id="552" w:name="_Toc226337244"/>
      <w:bookmarkStart w:id="553" w:name="_Toc226965738"/>
      <w:bookmarkStart w:id="554" w:name="_Toc226965821"/>
      <w:bookmarkStart w:id="555" w:name="_Toc264969238"/>
      <w:bookmarkStart w:id="556" w:name="_Toc265228386"/>
      <w:bookmarkStart w:id="557" w:name="_Toc305983661"/>
      <w:bookmarkStart w:id="558" w:name="_Toc305983815"/>
      <w:bookmarkStart w:id="559" w:name="_Toc316402810"/>
      <w:bookmarkStart w:id="560" w:name="_Toc316403005"/>
      <w:bookmarkStart w:id="561" w:name="_Toc316403223"/>
      <w:bookmarkStart w:id="562" w:name="_Toc226309792"/>
      <w:bookmarkStart w:id="563" w:name="_Toc318318701"/>
      <w:bookmarkStart w:id="564" w:name="_Toc318318331"/>
      <w:bookmarkStart w:id="565" w:name="_Toc127151548"/>
      <w:bookmarkStart w:id="566" w:name="_Ref467306874"/>
      <w:bookmarkStart w:id="567" w:name="_Toc520356173"/>
      <w:bookmarkStart w:id="568" w:name="_Toc432430466"/>
      <w:bookmarkStart w:id="569" w:name="_Toc443397192"/>
      <w:bookmarkStart w:id="570" w:name="_Toc443397256"/>
      <w:bookmarkStart w:id="571" w:name="_Toc443481358"/>
      <w:r>
        <w:rPr>
          <w:color w:val="auto"/>
          <w:highlight w:val="none"/>
        </w:rPr>
        <w:t>29.接受和拒绝任何或所有磋商的权利</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rPr>
          <w:color w:val="auto"/>
          <w:highlight w:val="none"/>
        </w:rPr>
      </w:pPr>
      <w:r>
        <w:rPr>
          <w:color w:val="auto"/>
          <w:highlight w:val="none"/>
        </w:rPr>
        <w:t>29.1为维护国家和社会公共利益，采购单位保留在授标之前任何时候接受或拒绝任何供应商的权利，且对受影响的供应商不承担任何责任。</w:t>
      </w:r>
    </w:p>
    <w:p>
      <w:pPr>
        <w:rPr>
          <w:color w:val="auto"/>
          <w:highlight w:val="none"/>
        </w:rPr>
      </w:pPr>
      <w:bookmarkStart w:id="572" w:name="_Toc520356174"/>
      <w:r>
        <w:rPr>
          <w:color w:val="auto"/>
          <w:highlight w:val="none"/>
        </w:rPr>
        <w:t>29.2在采购中，出现下列情形之一的，应予终止磋商：</w:t>
      </w:r>
    </w:p>
    <w:p>
      <w:pPr>
        <w:rPr>
          <w:color w:val="auto"/>
          <w:highlight w:val="none"/>
        </w:rPr>
      </w:pPr>
      <w:r>
        <w:rPr>
          <w:color w:val="auto"/>
          <w:highlight w:val="none"/>
        </w:rPr>
        <w:t>（1）出现影响采购公正的违法、违规行为的；</w:t>
      </w:r>
    </w:p>
    <w:p>
      <w:pPr>
        <w:rPr>
          <w:color w:val="auto"/>
          <w:highlight w:val="none"/>
        </w:rPr>
      </w:pPr>
      <w:r>
        <w:rPr>
          <w:color w:val="auto"/>
          <w:highlight w:val="none"/>
        </w:rPr>
        <w:t>（2）供应商的报价均超过了项目采购预算，采购人不能支付的；</w:t>
      </w:r>
    </w:p>
    <w:p>
      <w:pPr>
        <w:rPr>
          <w:color w:val="auto"/>
          <w:highlight w:val="none"/>
        </w:rPr>
      </w:pPr>
      <w:r>
        <w:rPr>
          <w:color w:val="auto"/>
          <w:highlight w:val="none"/>
        </w:rPr>
        <w:t>（3）因重大变故，采购任务取消的。</w:t>
      </w:r>
    </w:p>
    <w:p>
      <w:pPr>
        <w:rPr>
          <w:color w:val="auto"/>
          <w:highlight w:val="none"/>
        </w:rPr>
      </w:pPr>
      <w:bookmarkStart w:id="573" w:name="_Toc318318702"/>
      <w:bookmarkStart w:id="574" w:name="_Toc318318332"/>
      <w:bookmarkStart w:id="575" w:name="_Toc316403224"/>
      <w:bookmarkStart w:id="576" w:name="_Toc373513372"/>
      <w:bookmarkStart w:id="577" w:name="_Toc305983662"/>
      <w:bookmarkStart w:id="578" w:name="_Toc305983816"/>
      <w:bookmarkStart w:id="579" w:name="_Toc316402811"/>
      <w:bookmarkStart w:id="580" w:name="_Toc316403006"/>
      <w:bookmarkStart w:id="581" w:name="_Toc432430467"/>
      <w:bookmarkStart w:id="582" w:name="_Toc443397193"/>
      <w:bookmarkStart w:id="583" w:name="_Toc443397257"/>
      <w:bookmarkStart w:id="584" w:name="_Toc443481359"/>
      <w:bookmarkStart w:id="585" w:name="_Toc226965822"/>
      <w:bookmarkStart w:id="586" w:name="_Toc264969239"/>
      <w:bookmarkStart w:id="587" w:name="_Toc150774649"/>
      <w:bookmarkStart w:id="588" w:name="_Toc127151549"/>
      <w:bookmarkStart w:id="589" w:name="_Toc127151750"/>
      <w:bookmarkStart w:id="590" w:name="_Toc127161463"/>
      <w:bookmarkStart w:id="591" w:name="_Toc142311051"/>
      <w:bookmarkStart w:id="592" w:name="_Toc149720842"/>
      <w:bookmarkStart w:id="593" w:name="_Toc150480787"/>
      <w:bookmarkStart w:id="594" w:name="_Toc150509300"/>
      <w:bookmarkStart w:id="595" w:name="_Toc265228387"/>
      <w:bookmarkStart w:id="596" w:name="_Toc151193647"/>
      <w:bookmarkStart w:id="597" w:name="_Toc151193719"/>
      <w:bookmarkStart w:id="598" w:name="_Toc151193791"/>
      <w:bookmarkStart w:id="599" w:name="_Toc151193863"/>
      <w:bookmarkStart w:id="600" w:name="_Toc151193937"/>
      <w:bookmarkStart w:id="601" w:name="_Toc164229244"/>
      <w:bookmarkStart w:id="602" w:name="_Toc164229390"/>
      <w:bookmarkStart w:id="603" w:name="_Toc150774754"/>
      <w:bookmarkStart w:id="604" w:name="_Toc151190176"/>
      <w:bookmarkStart w:id="605" w:name="_Toc164608818"/>
      <w:bookmarkStart w:id="606" w:name="_Toc195842914"/>
      <w:bookmarkStart w:id="607" w:name="_Toc226309793"/>
      <w:bookmarkStart w:id="608" w:name="_Toc226337245"/>
      <w:bookmarkStart w:id="609" w:name="_Toc226965739"/>
      <w:bookmarkStart w:id="610" w:name="_Toc164351643"/>
      <w:bookmarkStart w:id="611" w:name="_Toc164608663"/>
      <w:r>
        <w:rPr>
          <w:color w:val="auto"/>
          <w:highlight w:val="none"/>
        </w:rPr>
        <w:t>30.成交通知书</w:t>
      </w:r>
      <w:bookmarkEnd w:id="573"/>
      <w:bookmarkEnd w:id="574"/>
      <w:bookmarkEnd w:id="575"/>
      <w:bookmarkEnd w:id="576"/>
      <w:bookmarkEnd w:id="577"/>
      <w:bookmarkEnd w:id="578"/>
      <w:bookmarkEnd w:id="579"/>
      <w:bookmarkEnd w:id="580"/>
      <w:bookmarkEnd w:id="581"/>
      <w:bookmarkEnd w:id="582"/>
      <w:bookmarkEnd w:id="583"/>
      <w:bookmarkEnd w:id="584"/>
    </w:p>
    <w:p>
      <w:pPr>
        <w:rPr>
          <w:color w:val="auto"/>
          <w:highlight w:val="none"/>
        </w:rPr>
      </w:pPr>
      <w:r>
        <w:rPr>
          <w:color w:val="auto"/>
          <w:highlight w:val="none"/>
        </w:rPr>
        <w:t>30.1在磋商有效期内，成交供应商确定后，</w:t>
      </w:r>
      <w:r>
        <w:rPr>
          <w:snapToGrid w:val="0"/>
          <w:color w:val="auto"/>
          <w:highlight w:val="none"/>
        </w:rPr>
        <w:t>采购</w:t>
      </w:r>
      <w:r>
        <w:rPr>
          <w:rFonts w:hint="eastAsia"/>
          <w:snapToGrid w:val="0"/>
          <w:color w:val="auto"/>
          <w:highlight w:val="none"/>
        </w:rPr>
        <w:t>机构</w:t>
      </w:r>
      <w:r>
        <w:rPr>
          <w:rFonts w:hint="eastAsia"/>
          <w:color w:val="auto"/>
          <w:highlight w:val="none"/>
        </w:rPr>
        <w:t>将在学校招标信息结果公告</w:t>
      </w:r>
      <w:r>
        <w:rPr>
          <w:color w:val="auto"/>
          <w:highlight w:val="none"/>
        </w:rPr>
        <w:t>上发布成交结果公告。</w:t>
      </w:r>
    </w:p>
    <w:bookmarkEnd w:id="572"/>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Pr>
        <w:rPr>
          <w:color w:val="auto"/>
          <w:highlight w:val="none"/>
        </w:rPr>
      </w:pPr>
      <w:bookmarkStart w:id="612" w:name="_Ref467306978"/>
      <w:bookmarkStart w:id="613" w:name="_Ref467307062"/>
      <w:bookmarkStart w:id="614" w:name="_Ref467307204"/>
      <w:bookmarkStart w:id="615" w:name="_Toc520356175"/>
      <w:bookmarkStart w:id="616" w:name="_Toc127151550"/>
      <w:bookmarkStart w:id="617" w:name="_Toc127151751"/>
      <w:bookmarkStart w:id="618" w:name="_Toc127161464"/>
      <w:bookmarkStart w:id="619" w:name="_Toc149720843"/>
      <w:bookmarkStart w:id="620" w:name="_Toc150480788"/>
      <w:bookmarkStart w:id="621" w:name="_Toc150774650"/>
      <w:bookmarkStart w:id="622" w:name="_Toc150774755"/>
      <w:bookmarkStart w:id="623" w:name="_Toc151190177"/>
      <w:bookmarkStart w:id="624" w:name="_Toc151193648"/>
      <w:bookmarkStart w:id="625" w:name="_Toc151193720"/>
      <w:bookmarkStart w:id="626" w:name="_Toc151193792"/>
      <w:bookmarkStart w:id="627" w:name="_Toc151193864"/>
      <w:bookmarkStart w:id="628" w:name="_Toc151193938"/>
      <w:bookmarkStart w:id="629" w:name="_Toc164229245"/>
      <w:bookmarkStart w:id="630" w:name="_Toc164229391"/>
      <w:bookmarkStart w:id="631" w:name="_Toc164351644"/>
      <w:bookmarkStart w:id="632" w:name="_Toc164608664"/>
      <w:bookmarkStart w:id="633" w:name="_Toc164608819"/>
      <w:bookmarkStart w:id="634" w:name="_Toc195842915"/>
      <w:bookmarkStart w:id="635" w:name="_Toc226309794"/>
      <w:bookmarkStart w:id="636" w:name="_Toc226337246"/>
      <w:bookmarkStart w:id="637" w:name="_Toc226965740"/>
      <w:bookmarkStart w:id="638" w:name="_Toc226965823"/>
      <w:bookmarkStart w:id="639" w:name="_Toc264969240"/>
      <w:bookmarkStart w:id="640" w:name="_Toc265228388"/>
      <w:bookmarkStart w:id="641" w:name="_Toc305983663"/>
      <w:bookmarkStart w:id="642" w:name="_Toc305983817"/>
      <w:bookmarkStart w:id="643" w:name="_Toc142311052"/>
      <w:bookmarkStart w:id="644" w:name="_Toc316403007"/>
      <w:bookmarkStart w:id="645" w:name="_Toc318318333"/>
      <w:bookmarkStart w:id="646" w:name="_Toc150509301"/>
      <w:bookmarkStart w:id="647" w:name="_Toc318318703"/>
      <w:bookmarkStart w:id="648" w:name="_Toc373513373"/>
      <w:bookmarkStart w:id="649" w:name="_Toc316402812"/>
      <w:bookmarkStart w:id="650" w:name="_Toc316403225"/>
      <w:bookmarkStart w:id="651" w:name="_Ref467306377"/>
      <w:bookmarkStart w:id="652" w:name="_Toc432430468"/>
      <w:bookmarkStart w:id="653" w:name="_Toc443397194"/>
      <w:bookmarkStart w:id="654" w:name="_Toc443397258"/>
      <w:bookmarkStart w:id="655" w:name="_Toc443481360"/>
      <w:r>
        <w:rPr>
          <w:color w:val="auto"/>
          <w:highlight w:val="none"/>
        </w:rPr>
        <w:t>31.签订合同</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rPr>
          <w:color w:val="auto"/>
          <w:highlight w:val="none"/>
        </w:rPr>
      </w:pPr>
      <w:r>
        <w:rPr>
          <w:color w:val="auto"/>
          <w:highlight w:val="none"/>
        </w:rPr>
        <w:t>31.1成交供应商应当自成交通知书发出之日起30日内，与采购人签订合同，否则按磋商后撤回响应文件处理。</w:t>
      </w:r>
    </w:p>
    <w:p>
      <w:pPr>
        <w:ind w:firstLine="464"/>
        <w:rPr>
          <w:color w:val="auto"/>
          <w:spacing w:val="-4"/>
          <w:highlight w:val="none"/>
        </w:rPr>
      </w:pPr>
      <w:bookmarkStart w:id="656" w:name="_Ref467306425"/>
      <w:bookmarkStart w:id="657" w:name="_Ref467307090"/>
      <w:bookmarkStart w:id="658" w:name="_Toc520356176"/>
      <w:r>
        <w:rPr>
          <w:color w:val="auto"/>
          <w:spacing w:val="-4"/>
          <w:highlight w:val="none"/>
        </w:rPr>
        <w:t>31.2磋商采购文件、成交供应商的响应文件及其澄清文件等，均为签订合同的依据。</w:t>
      </w:r>
    </w:p>
    <w:bookmarkEnd w:id="656"/>
    <w:bookmarkEnd w:id="657"/>
    <w:bookmarkEnd w:id="658"/>
    <w:p>
      <w:pPr>
        <w:rPr>
          <w:color w:val="auto"/>
          <w:highlight w:val="none"/>
        </w:rPr>
      </w:pPr>
      <w:bookmarkStart w:id="659" w:name="_Toc316402813"/>
      <w:bookmarkStart w:id="660" w:name="_Toc318318334"/>
      <w:bookmarkStart w:id="661" w:name="_Toc318318704"/>
      <w:bookmarkStart w:id="662" w:name="_Toc316403008"/>
      <w:bookmarkStart w:id="663" w:name="_Toc316403226"/>
      <w:bookmarkStart w:id="664" w:name="_Toc373513374"/>
      <w:bookmarkStart w:id="665" w:name="_Toc432430469"/>
      <w:bookmarkStart w:id="666" w:name="_Toc443397195"/>
      <w:bookmarkStart w:id="667" w:name="_Toc443397259"/>
      <w:bookmarkStart w:id="668" w:name="_Toc443481361"/>
      <w:r>
        <w:rPr>
          <w:color w:val="auto"/>
          <w:highlight w:val="none"/>
        </w:rPr>
        <w:t>32.履约</w:t>
      </w:r>
      <w:bookmarkEnd w:id="659"/>
      <w:bookmarkEnd w:id="660"/>
      <w:bookmarkEnd w:id="661"/>
      <w:bookmarkEnd w:id="662"/>
      <w:bookmarkEnd w:id="663"/>
      <w:r>
        <w:rPr>
          <w:color w:val="auto"/>
          <w:highlight w:val="none"/>
        </w:rPr>
        <w:t>保证金</w:t>
      </w:r>
      <w:bookmarkEnd w:id="664"/>
      <w:bookmarkEnd w:id="665"/>
      <w:bookmarkEnd w:id="666"/>
      <w:bookmarkEnd w:id="667"/>
      <w:bookmarkEnd w:id="668"/>
    </w:p>
    <w:p>
      <w:pPr>
        <w:rPr>
          <w:color w:val="auto"/>
          <w:highlight w:val="none"/>
        </w:rPr>
      </w:pPr>
      <w:r>
        <w:rPr>
          <w:color w:val="auto"/>
          <w:highlight w:val="none"/>
        </w:rPr>
        <w:t>32.1成交供应商须按本磋商采购文件的规定向采购人提交履约保证金。</w:t>
      </w:r>
    </w:p>
    <w:p>
      <w:pPr>
        <w:rPr>
          <w:color w:val="auto"/>
          <w:highlight w:val="none"/>
        </w:rPr>
      </w:pPr>
      <w:r>
        <w:rPr>
          <w:color w:val="auto"/>
          <w:highlight w:val="none"/>
        </w:rPr>
        <w:t>32.2如果成交供应商没有按照上述第31条或第32.1条的规定执行，采购人将取消该成交决定。</w:t>
      </w:r>
    </w:p>
    <w:p>
      <w:pPr>
        <w:rPr>
          <w:color w:val="auto"/>
          <w:highlight w:val="none"/>
        </w:rPr>
      </w:pPr>
      <w:bookmarkStart w:id="669" w:name="_Toc443397261"/>
      <w:bookmarkStart w:id="670" w:name="_Toc443481363"/>
      <w:bookmarkStart w:id="671" w:name="_Toc443397197"/>
      <w:bookmarkStart w:id="672" w:name="_Toc432430471"/>
      <w:r>
        <w:rPr>
          <w:color w:val="auto"/>
          <w:highlight w:val="none"/>
        </w:rPr>
        <w:t>3</w:t>
      </w:r>
      <w:r>
        <w:rPr>
          <w:rFonts w:hint="eastAsia"/>
          <w:color w:val="auto"/>
          <w:highlight w:val="none"/>
        </w:rPr>
        <w:t>3</w:t>
      </w:r>
      <w:r>
        <w:rPr>
          <w:color w:val="auto"/>
          <w:highlight w:val="none"/>
        </w:rPr>
        <w:t>.政府采购信用担保</w:t>
      </w:r>
      <w:bookmarkEnd w:id="669"/>
      <w:bookmarkEnd w:id="670"/>
      <w:bookmarkEnd w:id="671"/>
      <w:bookmarkEnd w:id="672"/>
    </w:p>
    <w:p>
      <w:pPr>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1供应商可以自愿选择是否以《关于开展政府采购信用担保试点工作的通知》（财库[2011]124号）中规定的投标担保函、履约担保函形式交纳磋商保证金和履约保证金。供应商可以自愿选择是否采取融资担保的形式为政府采购项目履约进行融资。政府采购投标担保函、履约担保函样本见采购文件第六部分响应文件格式。</w:t>
      </w:r>
    </w:p>
    <w:p>
      <w:pPr>
        <w:rPr>
          <w:color w:val="auto"/>
          <w:szCs w:val="21"/>
          <w:highlight w:val="none"/>
        </w:rPr>
      </w:pPr>
      <w:r>
        <w:rPr>
          <w:color w:val="auto"/>
          <w:szCs w:val="21"/>
          <w:highlight w:val="none"/>
        </w:rPr>
        <w:t>3</w:t>
      </w:r>
      <w:r>
        <w:rPr>
          <w:rFonts w:hint="eastAsia"/>
          <w:color w:val="auto"/>
          <w:szCs w:val="21"/>
          <w:highlight w:val="none"/>
        </w:rPr>
        <w:t>3</w:t>
      </w:r>
      <w:r>
        <w:rPr>
          <w:color w:val="auto"/>
          <w:szCs w:val="21"/>
          <w:highlight w:val="none"/>
        </w:rPr>
        <w:t>.2供应商提交专业担保机构出具的投标担保函的，可不提供银行资信证明或财务审计报告。</w:t>
      </w:r>
    </w:p>
    <w:p>
      <w:pPr>
        <w:rPr>
          <w:color w:val="auto"/>
          <w:highlight w:val="none"/>
        </w:rPr>
      </w:pPr>
      <w:r>
        <w:rPr>
          <w:color w:val="auto"/>
          <w:szCs w:val="21"/>
          <w:highlight w:val="none"/>
        </w:rPr>
        <w:t>3</w:t>
      </w:r>
      <w:r>
        <w:rPr>
          <w:rFonts w:hint="eastAsia"/>
          <w:color w:val="auto"/>
          <w:szCs w:val="21"/>
          <w:highlight w:val="none"/>
        </w:rPr>
        <w:t>3</w:t>
      </w:r>
      <w:r>
        <w:rPr>
          <w:color w:val="auto"/>
          <w:szCs w:val="21"/>
          <w:highlight w:val="none"/>
        </w:rPr>
        <w:t>.3政府采购担保机构</w:t>
      </w:r>
      <w:r>
        <w:rPr>
          <w:rFonts w:hint="eastAsia"/>
          <w:color w:val="auto"/>
          <w:szCs w:val="21"/>
          <w:highlight w:val="none"/>
        </w:rPr>
        <w:t>应为财政部认可并试点的专业担保公司，</w:t>
      </w:r>
      <w:r>
        <w:rPr>
          <w:rFonts w:hint="eastAsia"/>
          <w:color w:val="auto"/>
          <w:highlight w:val="none"/>
        </w:rPr>
        <w:t>其他担保公司提供的担保无效。</w:t>
      </w:r>
    </w:p>
    <w:p>
      <w:pPr>
        <w:ind w:left="240" w:leftChars="100"/>
        <w:rPr>
          <w:color w:val="auto"/>
          <w:highlight w:val="none"/>
        </w:rPr>
      </w:pPr>
    </w:p>
    <w:p>
      <w:pPr>
        <w:rPr>
          <w:color w:val="auto"/>
          <w:szCs w:val="21"/>
          <w:highlight w:val="none"/>
        </w:rPr>
      </w:pPr>
    </w:p>
    <w:bookmarkEnd w:id="13"/>
    <w:bookmarkEnd w:id="29"/>
    <w:bookmarkEnd w:id="30"/>
    <w:p>
      <w:pPr>
        <w:rPr>
          <w:color w:val="auto"/>
          <w:highlight w:val="none"/>
        </w:rPr>
      </w:pPr>
      <w:bookmarkStart w:id="673" w:name="_Hlt58073159"/>
      <w:bookmarkEnd w:id="673"/>
      <w:bookmarkStart w:id="674" w:name="_Toc432430472"/>
    </w:p>
    <w:p>
      <w:pPr>
        <w:pStyle w:val="2"/>
        <w:rPr>
          <w:color w:val="auto"/>
          <w:highlight w:val="none"/>
        </w:rPr>
      </w:pPr>
      <w:bookmarkStart w:id="675" w:name="_Toc453622069"/>
      <w:bookmarkStart w:id="676" w:name="_Toc462069434"/>
      <w:bookmarkStart w:id="677" w:name="_Toc462066500"/>
    </w:p>
    <w:p>
      <w:pPr>
        <w:pStyle w:val="2"/>
        <w:rPr>
          <w:color w:val="auto"/>
          <w:highlight w:val="none"/>
        </w:rPr>
      </w:pPr>
    </w:p>
    <w:p>
      <w:pPr>
        <w:pStyle w:val="2"/>
        <w:rPr>
          <w:color w:val="auto"/>
          <w:highlight w:val="none"/>
        </w:rPr>
      </w:pPr>
    </w:p>
    <w:p>
      <w:pPr>
        <w:widowControl/>
        <w:adjustRightInd/>
        <w:spacing w:line="240" w:lineRule="auto"/>
        <w:ind w:firstLine="0" w:firstLineChars="0"/>
        <w:textAlignment w:val="auto"/>
        <w:rPr>
          <w:b/>
          <w:bCs/>
          <w:color w:val="auto"/>
          <w:kern w:val="44"/>
          <w:sz w:val="28"/>
          <w:szCs w:val="28"/>
          <w:highlight w:val="none"/>
        </w:rPr>
      </w:pPr>
      <w:r>
        <w:rPr>
          <w:color w:val="auto"/>
          <w:highlight w:val="none"/>
        </w:rPr>
        <w:br w:type="page"/>
      </w:r>
    </w:p>
    <w:p>
      <w:pPr>
        <w:pStyle w:val="2"/>
        <w:rPr>
          <w:color w:val="auto"/>
          <w:highlight w:val="none"/>
        </w:rPr>
      </w:pPr>
    </w:p>
    <w:p>
      <w:pPr>
        <w:pStyle w:val="2"/>
        <w:rPr>
          <w:color w:val="auto"/>
          <w:highlight w:val="none"/>
        </w:rPr>
      </w:pPr>
      <w:bookmarkStart w:id="678" w:name="_Toc518557353"/>
      <w:r>
        <w:rPr>
          <w:color w:val="auto"/>
          <w:highlight w:val="none"/>
        </w:rPr>
        <w:t>第三部分合同主要条款</w:t>
      </w:r>
      <w:bookmarkEnd w:id="674"/>
      <w:r>
        <w:rPr>
          <w:color w:val="auto"/>
          <w:highlight w:val="none"/>
        </w:rPr>
        <w:t>及格式</w:t>
      </w:r>
      <w:bookmarkEnd w:id="675"/>
      <w:bookmarkEnd w:id="676"/>
      <w:bookmarkEnd w:id="677"/>
      <w:bookmarkEnd w:id="678"/>
    </w:p>
    <w:p>
      <w:pPr>
        <w:rPr>
          <w:color w:val="auto"/>
          <w:highlight w:val="none"/>
        </w:rPr>
      </w:pPr>
    </w:p>
    <w:p>
      <w:pPr>
        <w:rPr>
          <w:color w:val="auto"/>
          <w:highlight w:val="none"/>
        </w:rPr>
      </w:pPr>
    </w:p>
    <w:p>
      <w:pPr>
        <w:spacing w:line="480" w:lineRule="auto"/>
        <w:ind w:firstLine="720"/>
        <w:jc w:val="center"/>
        <w:rPr>
          <w:rFonts w:ascii="宋体" w:hAnsi="宋体"/>
          <w:b/>
          <w:bCs/>
          <w:color w:val="auto"/>
          <w:sz w:val="48"/>
          <w:szCs w:val="48"/>
          <w:highlight w:val="none"/>
        </w:rPr>
      </w:pPr>
      <w:r>
        <w:rPr>
          <w:color w:val="auto"/>
          <w:sz w:val="36"/>
          <w:szCs w:val="36"/>
          <w:highlight w:val="none"/>
        </w:rPr>
        <w:br w:type="page"/>
      </w:r>
      <w:bookmarkStart w:id="679" w:name="_Toc399104848"/>
    </w:p>
    <w:p>
      <w:pPr>
        <w:ind w:right="420" w:firstLine="6240" w:firstLineChars="2600"/>
        <w:rPr>
          <w:rFonts w:ascii="楷体_GB2312" w:hAnsi="宋体" w:eastAsia="楷体_GB2312"/>
          <w:color w:val="auto"/>
          <w:szCs w:val="21"/>
          <w:highlight w:val="none"/>
        </w:rPr>
      </w:pPr>
      <w:r>
        <w:rPr>
          <w:rFonts w:hint="eastAsia" w:ascii="楷体_GB2312" w:hAnsi="宋体" w:eastAsia="楷体_GB2312"/>
          <w:color w:val="auto"/>
          <w:szCs w:val="21"/>
          <w:highlight w:val="none"/>
        </w:rPr>
        <w:t>合同编号：</w:t>
      </w:r>
    </w:p>
    <w:p>
      <w:pPr>
        <w:ind w:right="420" w:firstLine="6240" w:firstLineChars="2600"/>
        <w:rPr>
          <w:rFonts w:ascii="楷体_GB2312" w:hAnsi="宋体" w:eastAsia="楷体_GB2312"/>
          <w:color w:val="auto"/>
          <w:szCs w:val="21"/>
          <w:highlight w:val="none"/>
        </w:rPr>
      </w:pPr>
    </w:p>
    <w:p>
      <w:pPr>
        <w:ind w:right="420" w:firstLine="6240" w:firstLineChars="2600"/>
        <w:rPr>
          <w:rFonts w:ascii="楷体_GB2312" w:hAnsi="宋体" w:eastAsia="楷体_GB2312"/>
          <w:color w:val="auto"/>
          <w:szCs w:val="21"/>
          <w:highlight w:val="none"/>
        </w:rPr>
      </w:pPr>
    </w:p>
    <w:p>
      <w:pPr>
        <w:snapToGrid w:val="0"/>
        <w:ind w:firstLine="0" w:firstLineChars="0"/>
        <w:jc w:val="center"/>
        <w:rPr>
          <w:rFonts w:ascii="方正小标宋简体" w:hAnsi="宋体" w:eastAsia="方正小标宋简体"/>
          <w:b/>
          <w:color w:val="auto"/>
          <w:sz w:val="44"/>
          <w:szCs w:val="44"/>
          <w:highlight w:val="none"/>
        </w:rPr>
      </w:pPr>
      <w:r>
        <w:rPr>
          <w:rFonts w:hint="eastAsia" w:ascii="方正小标宋简体" w:hAnsi="宋体" w:eastAsia="方正小标宋简体"/>
          <w:b/>
          <w:color w:val="auto"/>
          <w:sz w:val="44"/>
          <w:szCs w:val="44"/>
          <w:highlight w:val="none"/>
        </w:rPr>
        <w:t>中国劳动关系学院</w:t>
      </w:r>
    </w:p>
    <w:p>
      <w:pPr>
        <w:snapToGrid w:val="0"/>
        <w:ind w:firstLine="0" w:firstLineChars="0"/>
        <w:jc w:val="center"/>
        <w:rPr>
          <w:rFonts w:ascii="方正小标宋简体" w:hAnsi="宋体" w:eastAsia="方正小标宋简体"/>
          <w:b/>
          <w:color w:val="auto"/>
          <w:sz w:val="44"/>
          <w:szCs w:val="44"/>
          <w:highlight w:val="none"/>
        </w:rPr>
      </w:pPr>
      <w:r>
        <w:rPr>
          <w:rFonts w:hint="eastAsia" w:ascii="方正小标宋简体" w:hAnsi="宋体" w:eastAsia="方正小标宋简体"/>
          <w:b/>
          <w:color w:val="auto"/>
          <w:sz w:val="44"/>
          <w:szCs w:val="44"/>
          <w:highlight w:val="none"/>
        </w:rPr>
        <w:t>施工合同</w:t>
      </w:r>
    </w:p>
    <w:p>
      <w:pPr>
        <w:ind w:firstLine="2259" w:firstLineChars="750"/>
        <w:rPr>
          <w:rFonts w:ascii="楷体_GB2312" w:hAnsi="宋体" w:eastAsia="楷体_GB2312"/>
          <w:b/>
          <w:color w:val="auto"/>
          <w:sz w:val="30"/>
          <w:highlight w:val="none"/>
        </w:rPr>
      </w:pPr>
    </w:p>
    <w:p>
      <w:pPr>
        <w:ind w:firstLine="3000" w:firstLineChars="1000"/>
        <w:rPr>
          <w:rFonts w:ascii="楷体_GB2312" w:hAnsi="宋体" w:eastAsia="楷体_GB2312"/>
          <w:color w:val="auto"/>
          <w:sz w:val="30"/>
          <w:highlight w:val="none"/>
        </w:rPr>
      </w:pPr>
    </w:p>
    <w:p>
      <w:pPr>
        <w:ind w:firstLine="600"/>
        <w:rPr>
          <w:rFonts w:ascii="楷体_GB2312" w:hAnsi="宋体" w:eastAsia="楷体_GB2312"/>
          <w:color w:val="auto"/>
          <w:sz w:val="30"/>
          <w:highlight w:val="none"/>
        </w:rPr>
      </w:pPr>
    </w:p>
    <w:p>
      <w:pPr>
        <w:ind w:firstLine="600"/>
        <w:rPr>
          <w:rFonts w:ascii="楷体_GB2312" w:hAnsi="宋体" w:eastAsia="楷体_GB2312"/>
          <w:color w:val="auto"/>
          <w:sz w:val="30"/>
          <w:highlight w:val="none"/>
        </w:rPr>
      </w:pPr>
    </w:p>
    <w:p>
      <w:pPr>
        <w:ind w:firstLine="600"/>
        <w:rPr>
          <w:rFonts w:ascii="楷体_GB2312" w:hAnsi="宋体" w:eastAsia="楷体_GB2312"/>
          <w:color w:val="auto"/>
          <w:sz w:val="30"/>
          <w:highlight w:val="none"/>
        </w:rPr>
      </w:pPr>
    </w:p>
    <w:p>
      <w:pPr>
        <w:ind w:firstLine="600"/>
        <w:rPr>
          <w:rFonts w:ascii="楷体_GB2312" w:hAnsi="宋体" w:eastAsia="楷体_GB2312"/>
          <w:color w:val="auto"/>
          <w:sz w:val="30"/>
          <w:highlight w:val="none"/>
        </w:rPr>
      </w:pPr>
    </w:p>
    <w:p>
      <w:pPr>
        <w:ind w:firstLine="600"/>
        <w:rPr>
          <w:rFonts w:ascii="宋体" w:hAnsi="宋体"/>
          <w:color w:val="auto"/>
          <w:highlight w:val="none"/>
        </w:rPr>
      </w:pPr>
      <w:r>
        <w:rPr>
          <w:rFonts w:hint="eastAsia" w:ascii="楷体_GB2312" w:hAnsi="宋体" w:eastAsia="楷体_GB2312"/>
          <w:color w:val="auto"/>
          <w:sz w:val="30"/>
          <w:highlight w:val="none"/>
        </w:rPr>
        <w:t>项目名称：</w:t>
      </w:r>
      <w:r>
        <w:rPr>
          <w:rFonts w:hint="eastAsia" w:ascii="宋体" w:hAnsi="宋体"/>
          <w:color w:val="auto"/>
          <w:szCs w:val="21"/>
          <w:highlight w:val="none"/>
        </w:rPr>
        <w:t>（填写有关部门确定的采购项目全称）</w:t>
      </w:r>
    </w:p>
    <w:p>
      <w:pPr>
        <w:ind w:firstLine="600"/>
        <w:rPr>
          <w:rFonts w:ascii="楷体_GB2312" w:hAnsi="宋体" w:eastAsia="楷体_GB2312"/>
          <w:color w:val="auto"/>
          <w:sz w:val="30"/>
          <w:highlight w:val="none"/>
        </w:rPr>
      </w:pPr>
      <w:r>
        <w:rPr>
          <w:rFonts w:hint="eastAsia" w:ascii="楷体_GB2312" w:hAnsi="宋体" w:eastAsia="楷体_GB2312"/>
          <w:color w:val="auto"/>
          <w:sz w:val="30"/>
          <w:highlight w:val="none"/>
        </w:rPr>
        <w:t>甲    方：中国劳动关系学院</w:t>
      </w:r>
    </w:p>
    <w:p>
      <w:pPr>
        <w:ind w:firstLine="600"/>
        <w:rPr>
          <w:rFonts w:ascii="宋体" w:hAnsi="宋体"/>
          <w:color w:val="auto"/>
          <w:highlight w:val="none"/>
        </w:rPr>
      </w:pPr>
      <w:r>
        <w:rPr>
          <w:rFonts w:hint="eastAsia" w:ascii="楷体_GB2312" w:hAnsi="宋体" w:eastAsia="楷体_GB2312"/>
          <w:color w:val="auto"/>
          <w:sz w:val="30"/>
          <w:highlight w:val="none"/>
        </w:rPr>
        <w:t>乙    方：</w:t>
      </w:r>
      <w:r>
        <w:rPr>
          <w:rFonts w:hint="eastAsia" w:ascii="宋体" w:hAnsi="宋体"/>
          <w:color w:val="auto"/>
          <w:szCs w:val="21"/>
          <w:highlight w:val="none"/>
        </w:rPr>
        <w:t>（填写供应商全称）</w:t>
      </w:r>
    </w:p>
    <w:p>
      <w:pPr>
        <w:tabs>
          <w:tab w:val="left" w:pos="8504"/>
        </w:tabs>
        <w:ind w:right="-1" w:firstLine="2814" w:firstLineChars="1001"/>
        <w:rPr>
          <w:rFonts w:ascii="Arial" w:hAnsi="Arial" w:eastAsia="黑体"/>
          <w:b/>
          <w:bCs/>
          <w:color w:val="auto"/>
          <w:sz w:val="28"/>
          <w:szCs w:val="36"/>
          <w:highlight w:val="none"/>
        </w:rPr>
      </w:pPr>
    </w:p>
    <w:p>
      <w:pPr>
        <w:tabs>
          <w:tab w:val="left" w:pos="8504"/>
        </w:tabs>
        <w:ind w:right="-1" w:firstLine="2814" w:firstLineChars="1001"/>
        <w:rPr>
          <w:rFonts w:ascii="Arial" w:hAnsi="Arial" w:eastAsia="黑体"/>
          <w:b/>
          <w:bCs/>
          <w:color w:val="auto"/>
          <w:sz w:val="28"/>
          <w:szCs w:val="28"/>
          <w:highlight w:val="none"/>
        </w:rPr>
      </w:pPr>
    </w:p>
    <w:p>
      <w:pPr>
        <w:rPr>
          <w:rFonts w:ascii="宋体" w:hAnsi="宋体"/>
          <w:color w:val="auto"/>
          <w:highlight w:val="none"/>
        </w:rPr>
      </w:pPr>
      <w:r>
        <w:rPr>
          <w:rFonts w:ascii="宋体" w:hAnsi="宋体"/>
          <w:color w:val="auto"/>
          <w:highlight w:val="none"/>
        </w:rPr>
        <w:br w:type="page"/>
      </w:r>
    </w:p>
    <w:bookmarkEnd w:id="679"/>
    <w:p>
      <w:pPr>
        <w:keepNext/>
        <w:keepLines/>
        <w:adjustRightInd/>
        <w:spacing w:afterLines="50" w:line="300" w:lineRule="auto"/>
        <w:ind w:firstLine="0" w:firstLineChars="0"/>
        <w:jc w:val="center"/>
        <w:textAlignment w:val="auto"/>
        <w:outlineLvl w:val="1"/>
        <w:rPr>
          <w:rFonts w:ascii="Arial" w:hAnsi="Arial" w:eastAsia="黑体" w:cs="Arial"/>
          <w:color w:val="auto"/>
          <w:kern w:val="2"/>
          <w:sz w:val="28"/>
          <w:highlight w:val="none"/>
        </w:rPr>
      </w:pPr>
      <w:bookmarkStart w:id="680" w:name="_Toc492406110"/>
      <w:bookmarkStart w:id="681" w:name="_Toc499901797"/>
      <w:bookmarkStart w:id="682" w:name="_Toc518556707"/>
      <w:bookmarkStart w:id="683" w:name="_Toc518557103"/>
      <w:bookmarkStart w:id="684" w:name="_Toc518557354"/>
      <w:bookmarkStart w:id="685" w:name="_Toc241827248"/>
      <w:r>
        <w:rPr>
          <w:rFonts w:hint="eastAsia" w:ascii="Arial" w:hAnsi="Arial" w:eastAsia="黑体" w:cs="Arial"/>
          <w:color w:val="auto"/>
          <w:kern w:val="2"/>
          <w:sz w:val="28"/>
          <w:highlight w:val="none"/>
        </w:rPr>
        <w:t>第一节通用合同条款</w:t>
      </w:r>
      <w:bookmarkEnd w:id="680"/>
      <w:bookmarkEnd w:id="681"/>
      <w:bookmarkEnd w:id="682"/>
      <w:bookmarkEnd w:id="683"/>
      <w:bookmarkEnd w:id="684"/>
    </w:p>
    <w:p>
      <w:pPr>
        <w:adjustRightInd/>
        <w:ind w:firstLine="0" w:firstLineChars="0"/>
        <w:jc w:val="both"/>
        <w:textAlignment w:val="auto"/>
        <w:rPr>
          <w:rFonts w:ascii="Arial" w:hAnsi="Arial" w:cs="Arial"/>
          <w:color w:val="auto"/>
          <w:kern w:val="2"/>
          <w:sz w:val="21"/>
          <w:szCs w:val="24"/>
          <w:highlight w:val="none"/>
        </w:rPr>
      </w:pPr>
    </w:p>
    <w:p>
      <w:pPr>
        <w:adjustRightInd/>
        <w:spacing w:line="400" w:lineRule="exact"/>
        <w:ind w:firstLine="0" w:firstLineChars="0"/>
        <w:jc w:val="center"/>
        <w:textAlignment w:val="auto"/>
        <w:rPr>
          <w:rFonts w:ascii="黑体" w:eastAsia="黑体"/>
          <w:color w:val="auto"/>
          <w:kern w:val="2"/>
          <w:sz w:val="28"/>
          <w:szCs w:val="28"/>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525" w:firstLineChars="250"/>
        <w:jc w:val="both"/>
        <w:textAlignment w:val="auto"/>
        <w:rPr>
          <w:rFonts w:ascii="Arial" w:hAnsi="Arial" w:cs="Arial"/>
          <w:color w:val="auto"/>
          <w:kern w:val="2"/>
          <w:sz w:val="21"/>
          <w:szCs w:val="24"/>
          <w:highlight w:val="none"/>
        </w:rPr>
      </w:pPr>
    </w:p>
    <w:p>
      <w:pPr>
        <w:adjustRightInd/>
        <w:ind w:firstLine="42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sectPr>
          <w:footerReference r:id="rId9" w:type="default"/>
          <w:pgSz w:w="11906" w:h="16838"/>
          <w:pgMar w:top="1440" w:right="1797" w:bottom="1440" w:left="1797" w:header="851" w:footer="992" w:gutter="0"/>
          <w:cols w:space="425" w:num="1"/>
          <w:docGrid w:linePitch="312" w:charSpace="0"/>
        </w:sectPr>
      </w:pPr>
    </w:p>
    <w:p>
      <w:pPr>
        <w:adjustRightInd/>
        <w:spacing w:line="400" w:lineRule="exact"/>
        <w:ind w:firstLine="0" w:firstLineChars="0"/>
        <w:jc w:val="center"/>
        <w:textAlignment w:val="auto"/>
        <w:rPr>
          <w:rFonts w:ascii="黑体" w:eastAsia="黑体"/>
          <w:color w:val="auto"/>
          <w:kern w:val="2"/>
          <w:sz w:val="28"/>
          <w:szCs w:val="28"/>
          <w:highlight w:val="none"/>
        </w:rPr>
      </w:pPr>
      <w:bookmarkStart w:id="686" w:name="_Toc144974826"/>
      <w:bookmarkStart w:id="687" w:name="_Toc152045767"/>
      <w:bookmarkStart w:id="688" w:name="_Toc179632785"/>
      <w:bookmarkStart w:id="689" w:name="_Toc152042546"/>
      <w:r>
        <w:rPr>
          <w:rFonts w:hint="eastAsia" w:ascii="黑体" w:eastAsia="黑体"/>
          <w:color w:val="auto"/>
          <w:kern w:val="2"/>
          <w:sz w:val="28"/>
          <w:szCs w:val="28"/>
          <w:highlight w:val="none"/>
        </w:rPr>
        <w:t>通用合同条款</w:t>
      </w:r>
    </w:p>
    <w:p>
      <w:pPr>
        <w:adjustRightInd/>
        <w:spacing w:line="400" w:lineRule="exact"/>
        <w:ind w:firstLine="0" w:firstLineChars="0"/>
        <w:jc w:val="both"/>
        <w:textAlignment w:val="auto"/>
        <w:rPr>
          <w:color w:val="auto"/>
          <w:kern w:val="2"/>
          <w:sz w:val="21"/>
          <w:szCs w:val="24"/>
          <w:highlight w:val="none"/>
        </w:rPr>
      </w:pP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1.一般约定</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w:t>
      </w:r>
      <w:r>
        <w:rPr>
          <w:rFonts w:ascii="宋体" w:hAnsi="宋体"/>
          <w:color w:val="auto"/>
          <w:kern w:val="2"/>
          <w:sz w:val="21"/>
          <w:szCs w:val="21"/>
          <w:highlight w:val="none"/>
        </w:rPr>
        <w:tab/>
      </w:r>
      <w:r>
        <w:rPr>
          <w:rFonts w:ascii="宋体" w:hAnsi="宋体" w:cs="宋体"/>
          <w:color w:val="auto"/>
          <w:kern w:val="2"/>
          <w:sz w:val="21"/>
          <w:szCs w:val="21"/>
          <w:highlight w:val="none"/>
        </w:rPr>
        <w:t>词语定义</w:t>
      </w:r>
    </w:p>
    <w:p>
      <w:pPr>
        <w:adjustRightInd/>
        <w:ind w:left="780" w:right="88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合同条款通用部分、合同条款专用部分中的下列词语应具有本款所赋予的含义。 1.1.1 合同</w:t>
      </w:r>
    </w:p>
    <w:p>
      <w:pPr>
        <w:adjustRightInd/>
        <w:ind w:left="360" w:right="2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1.1.1.1 合同文件（或称合同）：指合同协议书、中标通知书、投标函及投标函附录、合同条款专用部分、合同条款通用部分、技术标准和要求、图纸、已标价工程量清单，以及其他合同文件。</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1.1.1.2</w:t>
      </w:r>
      <w:r>
        <w:rPr>
          <w:rFonts w:ascii="宋体" w:hAnsi="宋体"/>
          <w:color w:val="auto"/>
          <w:kern w:val="2"/>
          <w:sz w:val="21"/>
          <w:szCs w:val="21"/>
          <w:highlight w:val="none"/>
        </w:rPr>
        <w:tab/>
      </w:r>
      <w:r>
        <w:rPr>
          <w:rFonts w:ascii="宋体" w:hAnsi="宋体" w:cs="宋体"/>
          <w:color w:val="auto"/>
          <w:kern w:val="2"/>
          <w:sz w:val="21"/>
          <w:szCs w:val="21"/>
          <w:highlight w:val="none"/>
        </w:rPr>
        <w:t>合同协议书：指第 1.5 款所指的合同协议书。</w:t>
      </w:r>
    </w:p>
    <w:tbl>
      <w:tblPr>
        <w:tblStyle w:val="47"/>
        <w:tblW w:w="8420" w:type="dxa"/>
        <w:tblInd w:w="360" w:type="dxa"/>
        <w:tblLayout w:type="fixed"/>
        <w:tblCellMar>
          <w:top w:w="0" w:type="dxa"/>
          <w:left w:w="0" w:type="dxa"/>
          <w:bottom w:w="0" w:type="dxa"/>
          <w:right w:w="0" w:type="dxa"/>
        </w:tblCellMar>
      </w:tblPr>
      <w:tblGrid>
        <w:gridCol w:w="1520"/>
        <w:gridCol w:w="6900"/>
      </w:tblGrid>
      <w:tr>
        <w:tblPrEx>
          <w:tblLayout w:type="fixed"/>
          <w:tblCellMar>
            <w:top w:w="0" w:type="dxa"/>
            <w:left w:w="0" w:type="dxa"/>
            <w:bottom w:w="0" w:type="dxa"/>
            <w:right w:w="0" w:type="dxa"/>
          </w:tblCellMar>
        </w:tblPrEx>
        <w:trPr>
          <w:trHeight w:val="240"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1.1.1.3</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中标通知书：指发包人通知承包人中标的函件。</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1.1.1.4</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投标函：指构成合同文件组成部分的由承包人填写并签署的投标函。</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1.1.1.5</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投标函附录：指附在投标函后构成合同文件的投标函附录。</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1.1.1.6</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合同条款：指构成合同文件组成部分的合同条款通用部分和（或）合同条</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款专用部分。</w:t>
            </w:r>
          </w:p>
        </w:tc>
        <w:tc>
          <w:tcPr>
            <w:tcW w:w="6900" w:type="dxa"/>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1.1.1.7</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8"/>
                <w:kern w:val="2"/>
                <w:sz w:val="21"/>
                <w:szCs w:val="21"/>
                <w:highlight w:val="none"/>
              </w:rPr>
              <w:t>技术标准和要求：指构成合同文件组成部分的名为技术标准和要求的文件，</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包括合同双方当事人约定对其所作的修改或补充。</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1.1.1.8</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图纸：指包含在合同中的工程图纸，以及由发包人按合同约定提供的任何</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补充和修改的图纸，包括配套的说明。</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1.1.1.9</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已标价工程量清单：指构成合同文件组成部分的由承包人按照规定的格式</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和要求填写并标明价格的工程量清单。</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1.1.1.10</w:t>
            </w:r>
          </w:p>
        </w:tc>
        <w:tc>
          <w:tcPr>
            <w:tcW w:w="6900" w:type="dxa"/>
            <w:vAlign w:val="bottom"/>
          </w:tcPr>
          <w:p>
            <w:pPr>
              <w:adjustRightInd/>
              <w:ind w:left="1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其他合同文件：指经合同双方当事人确认构成合同文件的其他文件。</w:t>
            </w:r>
          </w:p>
        </w:tc>
      </w:tr>
      <w:tr>
        <w:tblPrEx>
          <w:tblLayout w:type="fixed"/>
          <w:tblCellMar>
            <w:top w:w="0" w:type="dxa"/>
            <w:left w:w="0" w:type="dxa"/>
            <w:bottom w:w="0" w:type="dxa"/>
            <w:right w:w="0" w:type="dxa"/>
          </w:tblCellMar>
        </w:tblPrEx>
        <w:trPr>
          <w:trHeight w:val="469" w:hRule="atLeast"/>
        </w:trPr>
        <w:tc>
          <w:tcPr>
            <w:tcW w:w="8420" w:type="dxa"/>
            <w:gridSpan w:val="2"/>
            <w:vAlign w:val="bottom"/>
          </w:tcPr>
          <w:p>
            <w:pPr>
              <w:adjustRightInd/>
              <w:ind w:left="4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  合同当事人和人员</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1.1.2.1</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合同当事人：指发包人和（或）承包人。</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1.1.2.2</w:t>
            </w:r>
          </w:p>
        </w:tc>
        <w:tc>
          <w:tcPr>
            <w:tcW w:w="69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发包人：指合同协议书中约定，具有工程发包主体资格和承诺按照合同约</w:t>
            </w:r>
          </w:p>
        </w:tc>
      </w:tr>
    </w:tbl>
    <w:p>
      <w:pPr>
        <w:adjustRightInd/>
        <w:ind w:left="360" w:right="34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定的条件、期限和方式向承包人支付工程价款的当事人，以及取得该当事人资格的合法继承人。发包人名称见合同条款专用部分。</w:t>
      </w:r>
    </w:p>
    <w:p>
      <w:pPr>
        <w:adjustRightInd/>
        <w:ind w:left="360" w:right="346" w:firstLine="631" w:firstLineChars="0"/>
        <w:jc w:val="both"/>
        <w:textAlignment w:val="auto"/>
        <w:rPr>
          <w:rFonts w:ascii="宋体" w:hAnsi="宋体"/>
          <w:color w:val="auto"/>
          <w:kern w:val="2"/>
          <w:sz w:val="21"/>
          <w:szCs w:val="21"/>
          <w:highlight w:val="none"/>
        </w:rPr>
      </w:pPr>
      <w:bookmarkStart w:id="690" w:name="page66"/>
      <w:bookmarkEnd w:id="690"/>
      <w:r>
        <w:rPr>
          <w:rFonts w:ascii="宋体" w:hAnsi="宋体" w:cs="宋体"/>
          <w:color w:val="auto"/>
          <w:kern w:val="2"/>
          <w:sz w:val="21"/>
          <w:szCs w:val="21"/>
          <w:highlight w:val="none"/>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tbl>
      <w:tblPr>
        <w:tblStyle w:val="47"/>
        <w:tblW w:w="8320" w:type="dxa"/>
        <w:tblInd w:w="360" w:type="dxa"/>
        <w:tblLayout w:type="fixed"/>
        <w:tblCellMar>
          <w:top w:w="0" w:type="dxa"/>
          <w:left w:w="0" w:type="dxa"/>
          <w:bottom w:w="0" w:type="dxa"/>
          <w:right w:w="0" w:type="dxa"/>
        </w:tblCellMar>
      </w:tblPr>
      <w:tblGrid>
        <w:gridCol w:w="1520"/>
        <w:gridCol w:w="6800"/>
      </w:tblGrid>
      <w:tr>
        <w:tblPrEx>
          <w:tblLayout w:type="fixed"/>
          <w:tblCellMar>
            <w:top w:w="0" w:type="dxa"/>
            <w:left w:w="0" w:type="dxa"/>
            <w:bottom w:w="0" w:type="dxa"/>
            <w:right w:w="0" w:type="dxa"/>
          </w:tblCellMar>
        </w:tblPrEx>
        <w:trPr>
          <w:trHeight w:val="240" w:hRule="atLeast"/>
        </w:trPr>
        <w:tc>
          <w:tcPr>
            <w:tcW w:w="1520" w:type="dxa"/>
            <w:vAlign w:val="bottom"/>
          </w:tcPr>
          <w:p>
            <w:pPr>
              <w:adjustRightInd/>
              <w:ind w:right="54"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1.1.2.4</w:t>
            </w:r>
          </w:p>
        </w:tc>
        <w:tc>
          <w:tcPr>
            <w:tcW w:w="68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承包人项目经理：指承包人派驻施工场地的全权负责人。</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right="54"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1.1.2.5</w:t>
            </w:r>
          </w:p>
        </w:tc>
        <w:tc>
          <w:tcPr>
            <w:tcW w:w="68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分包人：指从承包人处分包合同中某一部分工程，并与其签订分包合同的</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分包人。</w:t>
            </w:r>
          </w:p>
        </w:tc>
        <w:tc>
          <w:tcPr>
            <w:tcW w:w="6800" w:type="dxa"/>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right="54"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1.1.2.6</w:t>
            </w:r>
          </w:p>
        </w:tc>
        <w:tc>
          <w:tcPr>
            <w:tcW w:w="68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监理人：指发包人委托的对合同履行实施管理的法人或其他组织。监理人</w:t>
            </w:r>
          </w:p>
        </w:tc>
      </w:tr>
      <w:tr>
        <w:tblPrEx>
          <w:tblLayout w:type="fixed"/>
          <w:tblCellMar>
            <w:top w:w="0" w:type="dxa"/>
            <w:left w:w="0" w:type="dxa"/>
            <w:bottom w:w="0" w:type="dxa"/>
            <w:right w:w="0" w:type="dxa"/>
          </w:tblCellMar>
        </w:tblPrEx>
        <w:trPr>
          <w:trHeight w:val="468" w:hRule="atLeast"/>
        </w:trPr>
        <w:tc>
          <w:tcPr>
            <w:tcW w:w="83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名称见合同条款专用部分。</w:t>
            </w: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right="54"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1.1.2.7</w:t>
            </w:r>
          </w:p>
        </w:tc>
        <w:tc>
          <w:tcPr>
            <w:tcW w:w="68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6"/>
                <w:kern w:val="2"/>
                <w:sz w:val="21"/>
                <w:szCs w:val="21"/>
                <w:highlight w:val="none"/>
              </w:rPr>
              <w:t>总监理工程师（总监）：指由监理人委派常驻施工场地对合同履行实施管理</w:t>
            </w:r>
          </w:p>
        </w:tc>
      </w:tr>
      <w:tr>
        <w:tblPrEx>
          <w:tblLayout w:type="fixed"/>
          <w:tblCellMar>
            <w:top w:w="0" w:type="dxa"/>
            <w:left w:w="0" w:type="dxa"/>
            <w:bottom w:w="0" w:type="dxa"/>
            <w:right w:w="0" w:type="dxa"/>
          </w:tblCellMar>
        </w:tblPrEx>
        <w:trPr>
          <w:trHeight w:val="469" w:hRule="atLeast"/>
        </w:trPr>
        <w:tc>
          <w:tcPr>
            <w:tcW w:w="152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的全权负责人。</w:t>
            </w:r>
          </w:p>
        </w:tc>
        <w:tc>
          <w:tcPr>
            <w:tcW w:w="6800" w:type="dxa"/>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468" w:hRule="atLeast"/>
        </w:trPr>
        <w:tc>
          <w:tcPr>
            <w:tcW w:w="1520" w:type="dxa"/>
            <w:vAlign w:val="bottom"/>
          </w:tcPr>
          <w:p>
            <w:pPr>
              <w:adjustRightInd/>
              <w:ind w:right="54"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1.1.2.8</w:t>
            </w:r>
          </w:p>
        </w:tc>
        <w:tc>
          <w:tcPr>
            <w:tcW w:w="680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发包人代表：指由发包人指定的派驻施工场地（现场）的全权代表。发包</w:t>
            </w:r>
          </w:p>
        </w:tc>
      </w:tr>
    </w:tbl>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人代表相关信息见合同条款专用部分。</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1.1.2.9</w:t>
      </w:r>
      <w:r>
        <w:rPr>
          <w:rFonts w:ascii="宋体" w:hAnsi="宋体"/>
          <w:color w:val="auto"/>
          <w:kern w:val="2"/>
          <w:sz w:val="21"/>
          <w:szCs w:val="21"/>
          <w:highlight w:val="none"/>
        </w:rPr>
        <w:tab/>
      </w:r>
      <w:r>
        <w:rPr>
          <w:rFonts w:ascii="宋体" w:hAnsi="宋体" w:cs="宋体"/>
          <w:color w:val="auto"/>
          <w:kern w:val="2"/>
          <w:sz w:val="21"/>
          <w:szCs w:val="21"/>
          <w:highlight w:val="none"/>
        </w:rPr>
        <w:t>专业分包人：指根据合同条款第 15.8.1 项的约定，由发包人和承包人以招</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标方式选择的分包人。</w:t>
      </w:r>
    </w:p>
    <w:p>
      <w:pPr>
        <w:tabs>
          <w:tab w:val="left" w:pos="20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1.1.2.10</w:t>
      </w:r>
      <w:r>
        <w:rPr>
          <w:rFonts w:ascii="宋体" w:hAnsi="宋体"/>
          <w:color w:val="auto"/>
          <w:kern w:val="2"/>
          <w:sz w:val="21"/>
          <w:szCs w:val="21"/>
          <w:highlight w:val="none"/>
        </w:rPr>
        <w:tab/>
      </w:r>
      <w:r>
        <w:rPr>
          <w:rFonts w:ascii="宋体" w:hAnsi="宋体" w:cs="宋体"/>
          <w:color w:val="auto"/>
          <w:kern w:val="2"/>
          <w:sz w:val="21"/>
          <w:szCs w:val="21"/>
          <w:highlight w:val="none"/>
        </w:rPr>
        <w:t>专项供应商：指根据合同条款第 15.8.1 项的约定，由发包人和承包人以</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招标方式选择的供应商。</w:t>
      </w:r>
    </w:p>
    <w:p>
      <w:pPr>
        <w:tabs>
          <w:tab w:val="left" w:pos="20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1.1.2.11</w:t>
      </w:r>
      <w:r>
        <w:rPr>
          <w:rFonts w:ascii="宋体" w:hAnsi="宋体"/>
          <w:color w:val="auto"/>
          <w:kern w:val="2"/>
          <w:sz w:val="21"/>
          <w:szCs w:val="21"/>
          <w:highlight w:val="none"/>
        </w:rPr>
        <w:tab/>
      </w:r>
      <w:r>
        <w:rPr>
          <w:rFonts w:ascii="宋体" w:hAnsi="宋体" w:cs="宋体"/>
          <w:color w:val="auto"/>
          <w:kern w:val="2"/>
          <w:sz w:val="21"/>
          <w:szCs w:val="21"/>
          <w:highlight w:val="none"/>
        </w:rPr>
        <w:t>独立承包人：指与发包人直接订立工程承包合同，负责实施与工程有关的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其他工作的当事人。</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w:t>
      </w:r>
      <w:r>
        <w:rPr>
          <w:rFonts w:ascii="宋体" w:hAnsi="宋体"/>
          <w:color w:val="auto"/>
          <w:kern w:val="2"/>
          <w:sz w:val="21"/>
          <w:szCs w:val="21"/>
          <w:highlight w:val="none"/>
        </w:rPr>
        <w:tab/>
      </w:r>
      <w:r>
        <w:rPr>
          <w:rFonts w:ascii="宋体" w:hAnsi="宋体" w:cs="宋体"/>
          <w:color w:val="auto"/>
          <w:kern w:val="2"/>
          <w:sz w:val="21"/>
          <w:szCs w:val="21"/>
          <w:highlight w:val="none"/>
        </w:rPr>
        <w:t>工程和设备</w:t>
      </w:r>
    </w:p>
    <w:tbl>
      <w:tblPr>
        <w:tblStyle w:val="47"/>
        <w:tblW w:w="8420" w:type="dxa"/>
        <w:tblInd w:w="360" w:type="dxa"/>
        <w:tblLayout w:type="fixed"/>
        <w:tblCellMar>
          <w:top w:w="0" w:type="dxa"/>
          <w:left w:w="0" w:type="dxa"/>
          <w:bottom w:w="0" w:type="dxa"/>
          <w:right w:w="0" w:type="dxa"/>
        </w:tblCellMar>
      </w:tblPr>
      <w:tblGrid>
        <w:gridCol w:w="1480"/>
        <w:gridCol w:w="6940"/>
      </w:tblGrid>
      <w:tr>
        <w:tblPrEx>
          <w:tblLayout w:type="fixed"/>
          <w:tblCellMar>
            <w:top w:w="0" w:type="dxa"/>
            <w:left w:w="0" w:type="dxa"/>
            <w:bottom w:w="0" w:type="dxa"/>
            <w:right w:w="0" w:type="dxa"/>
          </w:tblCellMar>
        </w:tblPrEx>
        <w:trPr>
          <w:trHeight w:val="240"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1.1.3.1</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工程：指永久工程和（或）临时工程。</w:t>
            </w:r>
          </w:p>
        </w:tc>
      </w:tr>
      <w:tr>
        <w:tblPrEx>
          <w:tblLayout w:type="fixed"/>
          <w:tblCellMar>
            <w:top w:w="0" w:type="dxa"/>
            <w:left w:w="0" w:type="dxa"/>
            <w:bottom w:w="0" w:type="dxa"/>
            <w:right w:w="0" w:type="dxa"/>
          </w:tblCellMar>
        </w:tblPrEx>
        <w:trPr>
          <w:trHeight w:val="468"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1.1.3.2</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永久工程：指按照合同约定所需建造、完成并移交给发包人的工程，包括</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工程设备。永久工程的约定见合同条款专用部分。</w:t>
            </w:r>
          </w:p>
        </w:tc>
      </w:tr>
      <w:tr>
        <w:tblPrEx>
          <w:tblLayout w:type="fixed"/>
          <w:tblCellMar>
            <w:top w:w="0" w:type="dxa"/>
            <w:left w:w="0" w:type="dxa"/>
            <w:bottom w:w="0" w:type="dxa"/>
            <w:right w:w="0" w:type="dxa"/>
          </w:tblCellMar>
        </w:tblPrEx>
        <w:trPr>
          <w:trHeight w:val="468"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1.1.3.3</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临时工程：指为完成合同约定的永久工程所修建的各类临时性工程，不包</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括施工设备。临时工程的约定见合同条款专用部分。</w:t>
            </w:r>
          </w:p>
        </w:tc>
      </w:tr>
      <w:tr>
        <w:tblPrEx>
          <w:tblLayout w:type="fixed"/>
          <w:tblCellMar>
            <w:top w:w="0" w:type="dxa"/>
            <w:left w:w="0" w:type="dxa"/>
            <w:bottom w:w="0" w:type="dxa"/>
            <w:right w:w="0" w:type="dxa"/>
          </w:tblCellMar>
        </w:tblPrEx>
        <w:trPr>
          <w:trHeight w:val="468"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1.1.3.4</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单位工程：指具有相对独立的设计文件，能够独立组织施工并能形成独立</w:t>
            </w:r>
          </w:p>
        </w:tc>
      </w:tr>
      <w:tr>
        <w:tblPrEx>
          <w:tblLayout w:type="fixed"/>
          <w:tblCellMar>
            <w:top w:w="0" w:type="dxa"/>
            <w:left w:w="0" w:type="dxa"/>
            <w:bottom w:w="0" w:type="dxa"/>
            <w:right w:w="0" w:type="dxa"/>
          </w:tblCellMar>
        </w:tblPrEx>
        <w:trPr>
          <w:trHeight w:val="469"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使用功能的永久工程的组成部分。</w:t>
            </w:r>
          </w:p>
        </w:tc>
      </w:tr>
      <w:tr>
        <w:tblPrEx>
          <w:tblLayout w:type="fixed"/>
          <w:tblCellMar>
            <w:top w:w="0" w:type="dxa"/>
            <w:left w:w="0" w:type="dxa"/>
            <w:bottom w:w="0" w:type="dxa"/>
            <w:right w:w="0" w:type="dxa"/>
          </w:tblCellMar>
        </w:tblPrEx>
        <w:trPr>
          <w:trHeight w:val="468"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1.1.3.5</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w w:val="98"/>
                <w:kern w:val="2"/>
                <w:sz w:val="21"/>
                <w:szCs w:val="21"/>
                <w:highlight w:val="none"/>
              </w:rPr>
              <w:t>工程设备：指构成或计划构成永久工程一部分的机电设备、金属结构设备、</w:t>
            </w:r>
          </w:p>
        </w:tc>
      </w:tr>
      <w:tr>
        <w:tblPrEx>
          <w:tblLayout w:type="fixed"/>
          <w:tblCellMar>
            <w:top w:w="0" w:type="dxa"/>
            <w:left w:w="0" w:type="dxa"/>
            <w:bottom w:w="0" w:type="dxa"/>
            <w:right w:w="0" w:type="dxa"/>
          </w:tblCellMar>
        </w:tblPrEx>
        <w:trPr>
          <w:trHeight w:val="468" w:hRule="atLeast"/>
        </w:trPr>
        <w:tc>
          <w:tcPr>
            <w:tcW w:w="8420" w:type="dxa"/>
            <w:gridSpan w:val="2"/>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仪器装置及其他类似的设备和装置。</w:t>
            </w:r>
          </w:p>
        </w:tc>
      </w:tr>
      <w:tr>
        <w:tblPrEx>
          <w:tblLayout w:type="fixed"/>
          <w:tblCellMar>
            <w:top w:w="0" w:type="dxa"/>
            <w:left w:w="0" w:type="dxa"/>
            <w:bottom w:w="0" w:type="dxa"/>
            <w:right w:w="0" w:type="dxa"/>
          </w:tblCellMar>
        </w:tblPrEx>
        <w:trPr>
          <w:trHeight w:val="468" w:hRule="atLeast"/>
        </w:trPr>
        <w:tc>
          <w:tcPr>
            <w:tcW w:w="1480" w:type="dxa"/>
            <w:vAlign w:val="bottom"/>
          </w:tcPr>
          <w:p>
            <w:pPr>
              <w:adjustRightInd/>
              <w:ind w:left="62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1.1.3.6</w:t>
            </w:r>
          </w:p>
        </w:tc>
        <w:tc>
          <w:tcPr>
            <w:tcW w:w="694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施工设备：指为完成合同约定的各项工作所需的设备、器具和其他物品，</w:t>
            </w:r>
          </w:p>
        </w:tc>
      </w:tr>
    </w:tbl>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不包括临时工程和材料。</w:t>
      </w:r>
    </w:p>
    <w:p>
      <w:pPr>
        <w:tabs>
          <w:tab w:val="left" w:pos="1920"/>
        </w:tabs>
        <w:adjustRightInd/>
        <w:ind w:left="980" w:firstLine="0" w:firstLineChars="0"/>
        <w:jc w:val="both"/>
        <w:textAlignment w:val="auto"/>
        <w:rPr>
          <w:rFonts w:ascii="宋体" w:hAnsi="宋体"/>
          <w:color w:val="auto"/>
          <w:kern w:val="2"/>
          <w:sz w:val="21"/>
          <w:szCs w:val="21"/>
          <w:highlight w:val="none"/>
        </w:rPr>
      </w:pPr>
      <w:bookmarkStart w:id="691" w:name="page67"/>
      <w:bookmarkEnd w:id="691"/>
      <w:r>
        <w:rPr>
          <w:rFonts w:ascii="宋体" w:hAnsi="宋体" w:cs="宋体"/>
          <w:color w:val="auto"/>
          <w:kern w:val="2"/>
          <w:sz w:val="21"/>
          <w:szCs w:val="21"/>
          <w:highlight w:val="none"/>
        </w:rPr>
        <w:t>1.1.3.7</w:t>
      </w:r>
      <w:r>
        <w:rPr>
          <w:rFonts w:ascii="宋体" w:hAnsi="宋体"/>
          <w:color w:val="auto"/>
          <w:kern w:val="2"/>
          <w:sz w:val="21"/>
          <w:szCs w:val="21"/>
          <w:highlight w:val="none"/>
        </w:rPr>
        <w:tab/>
      </w:r>
      <w:r>
        <w:rPr>
          <w:rFonts w:ascii="宋体" w:hAnsi="宋体" w:cs="宋体"/>
          <w:color w:val="auto"/>
          <w:kern w:val="2"/>
          <w:sz w:val="21"/>
          <w:szCs w:val="21"/>
          <w:highlight w:val="none"/>
        </w:rPr>
        <w:t>临时设施：指为完成合同约定的各项工作所服务的临时性生产和生活设施。</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1.1.3.8</w:t>
      </w:r>
      <w:r>
        <w:rPr>
          <w:rFonts w:ascii="宋体" w:hAnsi="宋体"/>
          <w:color w:val="auto"/>
          <w:kern w:val="2"/>
          <w:sz w:val="21"/>
          <w:szCs w:val="21"/>
          <w:highlight w:val="none"/>
        </w:rPr>
        <w:tab/>
      </w:r>
      <w:r>
        <w:rPr>
          <w:rFonts w:ascii="宋体" w:hAnsi="宋体" w:cs="宋体"/>
          <w:color w:val="auto"/>
          <w:kern w:val="2"/>
          <w:sz w:val="21"/>
          <w:szCs w:val="21"/>
          <w:highlight w:val="none"/>
        </w:rPr>
        <w:t>承包人设备：指承包人自带的施工设备。</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1.1.3.9 施工场地（或称工地、现场）：指用于合同工程施工的场所，以及在合同中指定作为施工场地组成部分的其他场所，包括永久占地和临时占地。</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1.1.3.10 永久占地：指为实施合同工程需永久占用的土地。永久占地的约定见合同条款专用部分。</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1.1.3.11 临时占地：指为实施合同工程需临时占用的土地。临时占地的约定见合同条款专用部分。</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1.1.3.12 材料：指构成或将构成永久工程组成部分的各类物品(工程设备除外)，包括合同中可能约定的承包人仅负责供应的材料。</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w:t>
      </w:r>
      <w:r>
        <w:rPr>
          <w:rFonts w:ascii="宋体" w:hAnsi="宋体"/>
          <w:color w:val="auto"/>
          <w:kern w:val="2"/>
          <w:sz w:val="21"/>
          <w:szCs w:val="21"/>
          <w:highlight w:val="none"/>
        </w:rPr>
        <w:tab/>
      </w:r>
      <w:r>
        <w:rPr>
          <w:rFonts w:ascii="宋体" w:hAnsi="宋体" w:cs="宋体"/>
          <w:color w:val="auto"/>
          <w:kern w:val="2"/>
          <w:sz w:val="21"/>
          <w:szCs w:val="21"/>
          <w:highlight w:val="none"/>
        </w:rPr>
        <w:t>日期</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1.1.4.1</w:t>
      </w:r>
      <w:r>
        <w:rPr>
          <w:rFonts w:ascii="宋体" w:hAnsi="宋体"/>
          <w:color w:val="auto"/>
          <w:kern w:val="2"/>
          <w:sz w:val="21"/>
          <w:szCs w:val="21"/>
          <w:highlight w:val="none"/>
        </w:rPr>
        <w:tab/>
      </w:r>
      <w:r>
        <w:rPr>
          <w:rFonts w:ascii="宋体" w:hAnsi="宋体" w:cs="宋体"/>
          <w:color w:val="auto"/>
          <w:kern w:val="2"/>
          <w:sz w:val="21"/>
          <w:szCs w:val="21"/>
          <w:highlight w:val="none"/>
        </w:rPr>
        <w:t>开工通知：指监理人按第 11.1 款通知承包人开工的函件。</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1.1.4.2</w:t>
      </w:r>
      <w:r>
        <w:rPr>
          <w:rFonts w:ascii="宋体" w:hAnsi="宋体"/>
          <w:color w:val="auto"/>
          <w:kern w:val="2"/>
          <w:sz w:val="21"/>
          <w:szCs w:val="21"/>
          <w:highlight w:val="none"/>
        </w:rPr>
        <w:tab/>
      </w:r>
      <w:r>
        <w:rPr>
          <w:rFonts w:ascii="宋体" w:hAnsi="宋体" w:cs="宋体"/>
          <w:color w:val="auto"/>
          <w:kern w:val="2"/>
          <w:sz w:val="21"/>
          <w:szCs w:val="21"/>
          <w:highlight w:val="none"/>
        </w:rPr>
        <w:t>开工日期：指监理人按第 11.1 款发出的开工通知中写明的开工日期。</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1.1.4.3</w:t>
      </w:r>
      <w:r>
        <w:rPr>
          <w:rFonts w:ascii="宋体" w:hAnsi="宋体"/>
          <w:color w:val="auto"/>
          <w:kern w:val="2"/>
          <w:sz w:val="21"/>
          <w:szCs w:val="21"/>
          <w:highlight w:val="none"/>
        </w:rPr>
        <w:tab/>
      </w:r>
      <w:r>
        <w:rPr>
          <w:rFonts w:ascii="宋体" w:hAnsi="宋体" w:cs="宋体"/>
          <w:color w:val="auto"/>
          <w:kern w:val="2"/>
          <w:sz w:val="21"/>
          <w:szCs w:val="21"/>
          <w:highlight w:val="none"/>
        </w:rPr>
        <w:t>工期：指承包人在投标函中承诺的完成合同工程所需的期限，包括按第</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 款、第 11.4 款和第 11.6 款约定所作的变更。</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1.1.4.4 竣工日期：指第 1.1.4.3 目约定工期届满时的日期。实际竣工日期以工程接收证书中写明的日期为准。</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1.1.4.5 缺陷责任期：指履行第 19.2 款约定的缺陷责任的期限，包括根据第 19.3 款约定所作的延长。缺陷责任期的具体期限见合同条款专用部分。</w:t>
      </w:r>
    </w:p>
    <w:p>
      <w:pPr>
        <w:tabs>
          <w:tab w:val="left" w:pos="19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1.1.4.6</w:t>
      </w:r>
      <w:r>
        <w:rPr>
          <w:rFonts w:ascii="宋体" w:hAnsi="宋体"/>
          <w:color w:val="auto"/>
          <w:kern w:val="2"/>
          <w:sz w:val="21"/>
          <w:szCs w:val="21"/>
          <w:highlight w:val="none"/>
        </w:rPr>
        <w:tab/>
      </w:r>
      <w:r>
        <w:rPr>
          <w:rFonts w:ascii="宋体" w:hAnsi="宋体" w:cs="宋体"/>
          <w:color w:val="auto"/>
          <w:kern w:val="2"/>
          <w:sz w:val="21"/>
          <w:szCs w:val="21"/>
          <w:highlight w:val="none"/>
        </w:rPr>
        <w:t>基准日期：指投标截止时间前 28 天的日期。</w:t>
      </w:r>
    </w:p>
    <w:p>
      <w:pPr>
        <w:adjustRightInd/>
        <w:ind w:left="360" w:right="2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1.1.4.7 天：除特别指明外，指日历天。合同中按天计算时间的，开始当天不计入，从次日开始计算。期限最后一天的截止时间为当天 24:00。</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1.1.4.8 保修期：是根据现行有关法律规定，在合同条款第 19.7 款中约定的由承包人负责对合同约定的保修范围内发生的质量问题履行保修义务并对造成的损失承担赔偿责任的期限。</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w:t>
      </w:r>
      <w:r>
        <w:rPr>
          <w:rFonts w:ascii="宋体" w:hAnsi="宋体"/>
          <w:color w:val="auto"/>
          <w:kern w:val="2"/>
          <w:sz w:val="21"/>
          <w:szCs w:val="21"/>
          <w:highlight w:val="none"/>
        </w:rPr>
        <w:tab/>
      </w:r>
      <w:r>
        <w:rPr>
          <w:rFonts w:ascii="宋体" w:hAnsi="宋体" w:cs="宋体"/>
          <w:color w:val="auto"/>
          <w:kern w:val="2"/>
          <w:sz w:val="21"/>
          <w:szCs w:val="21"/>
          <w:highlight w:val="none"/>
        </w:rPr>
        <w:t>合同价格和费用</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1.1.5.1 签约合同价：指签定合同时合同协议书中写明的，包括了暂列金额、暂估价的合同总金额。</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1.1.5.2 合同价格：指承包人按合同约定完成了包括缺陷责任期内的全部承包工作后，发包人应付给承包人的金额，包括在履行合同过程中按合同约定进行的变更和调整。</w:t>
      </w:r>
    </w:p>
    <w:p>
      <w:pPr>
        <w:adjustRightInd/>
        <w:ind w:left="360" w:right="346" w:firstLine="631" w:firstLineChars="0"/>
        <w:jc w:val="both"/>
        <w:textAlignment w:val="auto"/>
        <w:rPr>
          <w:rFonts w:ascii="宋体" w:hAnsi="宋体"/>
          <w:color w:val="auto"/>
          <w:kern w:val="2"/>
          <w:sz w:val="21"/>
          <w:szCs w:val="21"/>
          <w:highlight w:val="none"/>
        </w:rPr>
      </w:pPr>
      <w:bookmarkStart w:id="692" w:name="page68"/>
      <w:bookmarkEnd w:id="692"/>
      <w:r>
        <w:rPr>
          <w:rFonts w:ascii="宋体" w:hAnsi="宋体" w:cs="宋体"/>
          <w:color w:val="auto"/>
          <w:kern w:val="2"/>
          <w:sz w:val="21"/>
          <w:szCs w:val="21"/>
          <w:highlight w:val="none"/>
        </w:rPr>
        <w:t>1.1.5.3 费用：指为履行合同所发生的或将要发生的所有合理开支，包括管理费和应分摊的其他费用，但不包括利润。</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1.1.5.4 暂列金额：指已标价工程量清单中所列的暂列金额，用于在签订协议书时尚未确定或不可预见变更的施工及其所需材料、工程设备、服务等的金额，包括以计日工方式支付的金额。</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1.1.5.5 暂估价：指发包人在工程量清单中给定的用于支付必然发生但暂时不能确定价格的材料、设备以及专业工程的金额。</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1.1.5.6 计日工：指对零星工作采取的一种计价方式，按合同中的计日工子目及其单价计价付款。</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1.1.5.7 质量保证金（或称保留金）：指按第 17.4.1 项约定用于保证在缺陷责任期内履行缺陷修复义务的金额。</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1.1.6</w:t>
      </w:r>
      <w:r>
        <w:rPr>
          <w:rFonts w:ascii="宋体" w:hAnsi="宋体"/>
          <w:color w:val="auto"/>
          <w:kern w:val="2"/>
          <w:sz w:val="21"/>
          <w:szCs w:val="21"/>
          <w:highlight w:val="none"/>
        </w:rPr>
        <w:tab/>
      </w:r>
      <w:r>
        <w:rPr>
          <w:rFonts w:ascii="宋体" w:hAnsi="宋体" w:cs="宋体"/>
          <w:color w:val="auto"/>
          <w:kern w:val="2"/>
          <w:sz w:val="21"/>
          <w:szCs w:val="21"/>
          <w:highlight w:val="none"/>
        </w:rPr>
        <w:t>书面形式</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书面形式：指合同文件、信函、电报、传真等可以有形地表现所载内容的形式。</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1.1.7</w:t>
      </w:r>
      <w:r>
        <w:rPr>
          <w:rFonts w:ascii="宋体" w:hAnsi="宋体"/>
          <w:color w:val="auto"/>
          <w:kern w:val="2"/>
          <w:sz w:val="21"/>
          <w:szCs w:val="21"/>
          <w:highlight w:val="none"/>
        </w:rPr>
        <w:tab/>
      </w:r>
      <w:r>
        <w:rPr>
          <w:rFonts w:ascii="宋体" w:hAnsi="宋体" w:cs="宋体"/>
          <w:color w:val="auto"/>
          <w:kern w:val="2"/>
          <w:sz w:val="21"/>
          <w:szCs w:val="21"/>
          <w:highlight w:val="none"/>
        </w:rPr>
        <w:t>争议评审组</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1.1.8</w:t>
      </w:r>
      <w:r>
        <w:rPr>
          <w:rFonts w:ascii="宋体" w:hAnsi="宋体"/>
          <w:color w:val="auto"/>
          <w:kern w:val="2"/>
          <w:sz w:val="21"/>
          <w:szCs w:val="21"/>
          <w:highlight w:val="none"/>
        </w:rPr>
        <w:tab/>
      </w:r>
      <w:r>
        <w:rPr>
          <w:rFonts w:ascii="宋体" w:hAnsi="宋体" w:cs="宋体"/>
          <w:color w:val="auto"/>
          <w:kern w:val="2"/>
          <w:sz w:val="21"/>
          <w:szCs w:val="21"/>
          <w:highlight w:val="none"/>
        </w:rPr>
        <w:t>其他需要补充的内容</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其他需要补充的内容见合同条款专用部分。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w:t>
      </w:r>
      <w:r>
        <w:rPr>
          <w:rFonts w:ascii="宋体" w:hAnsi="宋体"/>
          <w:color w:val="auto"/>
          <w:kern w:val="2"/>
          <w:sz w:val="21"/>
          <w:szCs w:val="21"/>
          <w:highlight w:val="none"/>
        </w:rPr>
        <w:tab/>
      </w:r>
      <w:r>
        <w:rPr>
          <w:rFonts w:ascii="宋体" w:hAnsi="宋体" w:cs="宋体"/>
          <w:color w:val="auto"/>
          <w:kern w:val="2"/>
          <w:sz w:val="21"/>
          <w:szCs w:val="21"/>
          <w:highlight w:val="none"/>
        </w:rPr>
        <w:t>语言文字</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除专用术语外，合同使用的语言文字为中文。必要时专用术语应附有中文注释。</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w:t>
      </w:r>
      <w:r>
        <w:rPr>
          <w:rFonts w:ascii="宋体" w:hAnsi="宋体"/>
          <w:color w:val="auto"/>
          <w:kern w:val="2"/>
          <w:sz w:val="21"/>
          <w:szCs w:val="21"/>
          <w:highlight w:val="none"/>
        </w:rPr>
        <w:tab/>
      </w:r>
      <w:r>
        <w:rPr>
          <w:rFonts w:ascii="宋体" w:hAnsi="宋体" w:cs="宋体"/>
          <w:color w:val="auto"/>
          <w:kern w:val="2"/>
          <w:sz w:val="21"/>
          <w:szCs w:val="21"/>
          <w:highlight w:val="none"/>
        </w:rPr>
        <w:t>法律</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适用于合同的法律包括中华人民共和国法律、行政法规、部门规章，以及工程所在地的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地方法规、自治条例、单行条例和地方政府规章。</w:t>
      </w:r>
    </w:p>
    <w:p>
      <w:pPr>
        <w:tabs>
          <w:tab w:val="left" w:pos="940"/>
        </w:tabs>
        <w:adjustRightInd/>
        <w:ind w:left="360" w:firstLine="0" w:firstLineChars="0"/>
        <w:jc w:val="both"/>
        <w:textAlignment w:val="auto"/>
        <w:rPr>
          <w:rFonts w:ascii="宋体" w:hAnsi="宋体"/>
          <w:color w:val="auto"/>
          <w:kern w:val="2"/>
          <w:sz w:val="21"/>
          <w:szCs w:val="21"/>
          <w:highlight w:val="none"/>
        </w:rPr>
      </w:pPr>
      <w:bookmarkStart w:id="693" w:name="page69"/>
      <w:bookmarkEnd w:id="693"/>
      <w:r>
        <w:rPr>
          <w:rFonts w:ascii="宋体" w:hAnsi="宋体" w:cs="宋体"/>
          <w:color w:val="auto"/>
          <w:kern w:val="2"/>
          <w:sz w:val="21"/>
          <w:szCs w:val="21"/>
          <w:highlight w:val="none"/>
        </w:rPr>
        <w:t>1.4</w:t>
      </w:r>
      <w:r>
        <w:rPr>
          <w:rFonts w:ascii="宋体" w:hAnsi="宋体"/>
          <w:color w:val="auto"/>
          <w:kern w:val="2"/>
          <w:sz w:val="21"/>
          <w:szCs w:val="21"/>
          <w:highlight w:val="none"/>
        </w:rPr>
        <w:tab/>
      </w:r>
      <w:r>
        <w:rPr>
          <w:rFonts w:ascii="宋体" w:hAnsi="宋体" w:cs="宋体"/>
          <w:color w:val="auto"/>
          <w:kern w:val="2"/>
          <w:sz w:val="21"/>
          <w:szCs w:val="21"/>
          <w:highlight w:val="none"/>
        </w:rPr>
        <w:t>合同文件的优先顺序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组成合同的各项文件应互相解释，互为说明。除合同条款专用部分另有约定外，解释合同文件的优先顺序如下：</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（1）合同协议书；</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（2）中标通知书；</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（3）投标函及投标函附录；</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（4）合同条款专用部分；</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（5）合同条款通用部分；</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（6）技术标准和要求；</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（7）图纸；</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（8）已标价工程量清单；</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（9）其他合同文件。</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附注：构成合同文件的图纸与技术标准和要求之间有矛盾或者不一致的，应以其中要求较严格的标准为准。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合同双方在合同履行过程中签署的不背离合同实质性内容的补充协议，应当视为合同文件的有效组成部分，其解释顺序视其内容与其他合同文件的相互关系而定。</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w:t>
      </w:r>
      <w:r>
        <w:rPr>
          <w:rFonts w:ascii="宋体" w:hAnsi="宋体"/>
          <w:color w:val="auto"/>
          <w:kern w:val="2"/>
          <w:sz w:val="21"/>
          <w:szCs w:val="21"/>
          <w:highlight w:val="none"/>
        </w:rPr>
        <w:tab/>
      </w:r>
      <w:r>
        <w:rPr>
          <w:rFonts w:ascii="宋体" w:hAnsi="宋体" w:cs="宋体"/>
          <w:color w:val="auto"/>
          <w:kern w:val="2"/>
          <w:sz w:val="21"/>
          <w:szCs w:val="21"/>
          <w:highlight w:val="none"/>
        </w:rPr>
        <w:t>合同协议书</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指由发包人与承包人共同签署的用于明确当事人合同关系的文件。承包人按照中标通知</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书规定的时间与发包人签订的合同协议书，除法律另有规定或合同条款专用部分另有约定</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外，发包人和承包人的法定代表人或其委托代理人在合同协议书上签字并盖单位章后，合同</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生效。合同生效的条件见合同条款专用部分。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w:t>
      </w:r>
      <w:r>
        <w:rPr>
          <w:rFonts w:ascii="宋体" w:hAnsi="宋体"/>
          <w:color w:val="auto"/>
          <w:kern w:val="2"/>
          <w:sz w:val="21"/>
          <w:szCs w:val="21"/>
          <w:highlight w:val="none"/>
        </w:rPr>
        <w:tab/>
      </w:r>
      <w:r>
        <w:rPr>
          <w:rFonts w:ascii="宋体" w:hAnsi="宋体" w:cs="宋体"/>
          <w:color w:val="auto"/>
          <w:kern w:val="2"/>
          <w:sz w:val="21"/>
          <w:szCs w:val="21"/>
          <w:highlight w:val="none"/>
        </w:rPr>
        <w:t>图纸和承包人文件</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w:t>
      </w:r>
      <w:r>
        <w:rPr>
          <w:rFonts w:ascii="宋体" w:hAnsi="宋体"/>
          <w:color w:val="auto"/>
          <w:kern w:val="2"/>
          <w:sz w:val="21"/>
          <w:szCs w:val="21"/>
          <w:highlight w:val="none"/>
        </w:rPr>
        <w:tab/>
      </w:r>
      <w:r>
        <w:rPr>
          <w:rFonts w:ascii="宋体" w:hAnsi="宋体" w:cs="宋体"/>
          <w:color w:val="auto"/>
          <w:kern w:val="2"/>
          <w:sz w:val="21"/>
          <w:szCs w:val="21"/>
          <w:highlight w:val="none"/>
        </w:rPr>
        <w:t>图纸的提供</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（1）发包人按照合同约定向承包人提供图纸。发包人未按时提供图纸造成工期延误的，按第 11.3 款的约定办理。承包人需要增加图纸套数的，发包人应代为复制，复制费用由承包人承担。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（2）依据合同条款专用部分第 10.1 款约定制定的合同进度计划，或依据合同条款专用部分第 10.2 款约定修订的合同进度计划，经监理人批准后 7 日内，承包人应当根据合同进</w:t>
      </w:r>
      <w:bookmarkStart w:id="694" w:name="page70"/>
      <w:bookmarkEnd w:id="694"/>
      <w:r>
        <w:rPr>
          <w:rFonts w:ascii="宋体" w:hAnsi="宋体" w:cs="宋体"/>
          <w:color w:val="auto"/>
          <w:kern w:val="2"/>
          <w:sz w:val="21"/>
          <w:szCs w:val="21"/>
          <w:highlight w:val="none"/>
        </w:rPr>
        <w:t>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（5）发包人提供图纸的期限、数量和其他约定见合同条款专用部分。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1.6.2</w:t>
      </w:r>
      <w:r>
        <w:rPr>
          <w:rFonts w:ascii="宋体" w:hAnsi="宋体"/>
          <w:color w:val="auto"/>
          <w:kern w:val="2"/>
          <w:sz w:val="21"/>
          <w:szCs w:val="21"/>
          <w:highlight w:val="none"/>
        </w:rPr>
        <w:tab/>
      </w:r>
      <w:r>
        <w:rPr>
          <w:rFonts w:ascii="宋体" w:hAnsi="宋体" w:cs="宋体"/>
          <w:color w:val="auto"/>
          <w:kern w:val="2"/>
          <w:sz w:val="21"/>
          <w:szCs w:val="21"/>
          <w:highlight w:val="none"/>
        </w:rPr>
        <w:t>承包人提供的文件</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（2）除合同条款第 4.1.10 项约定的由承包人提供的设计文件外，本项约定的其他应由承包人提供的文件，包括必要的加工图和大样图，均不能作为合同计量与支付的依据文件。</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1.6.3</w:t>
      </w:r>
      <w:r>
        <w:rPr>
          <w:rFonts w:ascii="宋体" w:hAnsi="宋体"/>
          <w:color w:val="auto"/>
          <w:kern w:val="2"/>
          <w:sz w:val="21"/>
          <w:szCs w:val="21"/>
          <w:highlight w:val="none"/>
        </w:rPr>
        <w:tab/>
      </w:r>
      <w:r>
        <w:rPr>
          <w:rFonts w:ascii="宋体" w:hAnsi="宋体" w:cs="宋体"/>
          <w:color w:val="auto"/>
          <w:kern w:val="2"/>
          <w:sz w:val="21"/>
          <w:szCs w:val="21"/>
          <w:highlight w:val="none"/>
        </w:rPr>
        <w:t>图纸的修改</w:t>
      </w:r>
    </w:p>
    <w:p>
      <w:pPr>
        <w:adjustRightInd/>
        <w:ind w:left="360" w:right="42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图纸需要修改和补充的，监理人应当按照合同条款第 1.6.1（2）目约定的有合同约束力的图纸供应计划，签发图纸修改图给承包人。承包人应按修改后的图纸施工。</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1.6.4</w:t>
      </w:r>
      <w:r>
        <w:rPr>
          <w:rFonts w:ascii="宋体" w:hAnsi="宋体"/>
          <w:color w:val="auto"/>
          <w:kern w:val="2"/>
          <w:sz w:val="21"/>
          <w:szCs w:val="21"/>
          <w:highlight w:val="none"/>
        </w:rPr>
        <w:tab/>
      </w:r>
      <w:r>
        <w:rPr>
          <w:rFonts w:ascii="宋体" w:hAnsi="宋体" w:cs="宋体"/>
          <w:color w:val="auto"/>
          <w:kern w:val="2"/>
          <w:sz w:val="21"/>
          <w:szCs w:val="21"/>
          <w:highlight w:val="none"/>
        </w:rPr>
        <w:t>图纸的错误</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承包人发现发包人提供的图纸存在明显错误或疏忽，应及时通知监理人。</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1.6.5</w:t>
      </w:r>
      <w:r>
        <w:rPr>
          <w:rFonts w:ascii="宋体" w:hAnsi="宋体"/>
          <w:color w:val="auto"/>
          <w:kern w:val="2"/>
          <w:sz w:val="21"/>
          <w:szCs w:val="21"/>
          <w:highlight w:val="none"/>
        </w:rPr>
        <w:tab/>
      </w:r>
      <w:r>
        <w:rPr>
          <w:rFonts w:ascii="宋体" w:hAnsi="宋体" w:cs="宋体"/>
          <w:color w:val="auto"/>
          <w:kern w:val="2"/>
          <w:sz w:val="21"/>
          <w:szCs w:val="21"/>
          <w:highlight w:val="none"/>
        </w:rPr>
        <w:t>图纸和承包人文件的保管</w:t>
      </w:r>
    </w:p>
    <w:p>
      <w:pPr>
        <w:adjustRightInd/>
        <w:ind w:left="360" w:right="4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监理人和承包人均应在施工场地各保存一套完整的包含第 1.6.1 项、第 1.6.2 项、第 1.6.3 项约定内容的图纸和承包人文件。</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w:t>
      </w:r>
      <w:r>
        <w:rPr>
          <w:rFonts w:ascii="宋体" w:hAnsi="宋体"/>
          <w:color w:val="auto"/>
          <w:kern w:val="2"/>
          <w:sz w:val="21"/>
          <w:szCs w:val="21"/>
          <w:highlight w:val="none"/>
        </w:rPr>
        <w:tab/>
      </w:r>
      <w:r>
        <w:rPr>
          <w:rFonts w:ascii="宋体" w:hAnsi="宋体" w:cs="宋体"/>
          <w:color w:val="auto"/>
          <w:kern w:val="2"/>
          <w:sz w:val="21"/>
          <w:szCs w:val="21"/>
          <w:highlight w:val="none"/>
        </w:rPr>
        <w:t>联络</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w:t>
      </w:r>
      <w:r>
        <w:rPr>
          <w:rFonts w:ascii="宋体" w:hAnsi="宋体"/>
          <w:color w:val="auto"/>
          <w:kern w:val="2"/>
          <w:sz w:val="21"/>
          <w:szCs w:val="21"/>
          <w:highlight w:val="none"/>
        </w:rPr>
        <w:tab/>
      </w:r>
      <w:r>
        <w:rPr>
          <w:rFonts w:ascii="宋体" w:hAnsi="宋体" w:cs="宋体"/>
          <w:color w:val="auto"/>
          <w:kern w:val="2"/>
          <w:sz w:val="21"/>
          <w:szCs w:val="21"/>
          <w:highlight w:val="none"/>
        </w:rPr>
        <w:t>与合同有关的通知、批准、证明、证书、指示、要求、请求、同意、意见、确</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定和决定等，均应采用书面形式。</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1.7.2</w:t>
      </w:r>
      <w:r>
        <w:rPr>
          <w:rFonts w:ascii="宋体" w:hAnsi="宋体"/>
          <w:color w:val="auto"/>
          <w:kern w:val="2"/>
          <w:sz w:val="21"/>
          <w:szCs w:val="21"/>
          <w:highlight w:val="none"/>
        </w:rPr>
        <w:tab/>
      </w:r>
      <w:r>
        <w:rPr>
          <w:rFonts w:ascii="宋体" w:hAnsi="宋体" w:cs="宋体"/>
          <w:color w:val="auto"/>
          <w:kern w:val="2"/>
          <w:sz w:val="21"/>
          <w:szCs w:val="21"/>
          <w:highlight w:val="none"/>
        </w:rPr>
        <w:t>第 1.7.1 项中的通知、批准、证明、证书、指示、要求、请求、同意、意见、</w:t>
      </w:r>
      <w:bookmarkStart w:id="695" w:name="page71"/>
      <w:bookmarkEnd w:id="695"/>
      <w:r>
        <w:rPr>
          <w:rFonts w:ascii="宋体" w:hAnsi="宋体" w:cs="宋体"/>
          <w:color w:val="auto"/>
          <w:kern w:val="2"/>
          <w:sz w:val="21"/>
          <w:szCs w:val="21"/>
          <w:highlight w:val="none"/>
        </w:rPr>
        <w:t>确定和决定等来往函件，均应在合同约定的期限内送达指定地点和接收人，并办理签收手续。</w:t>
      </w:r>
    </w:p>
    <w:p>
      <w:pPr>
        <w:adjustRightInd/>
        <w:ind w:left="360" w:right="3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（1）联络来往信函的送达期限：合同约定了发出期限的，送达期限为合同约定的发出期限后的 24 小时内；合同约定了通知、提供或者报送期限的，通知、提供或者报送期限即为送达期限。</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（2）发包人指定的接收人和接收地点见合同条款专用部分。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（3）监理人指定的接收人和接收地点见合同条款专用部分。</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（4）承包人指定的接收人为合同协议书中载明的承包人项目经理本人或者项目经理的授权代表。承包人应在收到开工通知后 7 天内，按照合同条款第 4.5.4 项的约定，将授权代表其接收来往信函的项目经理的授权代表姓名和授权范围通知监理人。除合同另有约定外，承包人施工场地管理机构的办公地点即为承包人指定的接收地点。</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w:t>
      </w:r>
      <w:r>
        <w:rPr>
          <w:rFonts w:ascii="宋体" w:hAnsi="宋体"/>
          <w:color w:val="auto"/>
          <w:kern w:val="2"/>
          <w:sz w:val="21"/>
          <w:szCs w:val="21"/>
          <w:highlight w:val="none"/>
        </w:rPr>
        <w:tab/>
      </w:r>
      <w:r>
        <w:rPr>
          <w:rFonts w:ascii="宋体" w:hAnsi="宋体" w:cs="宋体"/>
          <w:color w:val="auto"/>
          <w:kern w:val="2"/>
          <w:sz w:val="21"/>
          <w:szCs w:val="21"/>
          <w:highlight w:val="none"/>
        </w:rPr>
        <w:t>转让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除合同另有约定外，未经对方当事人同意，一方当事人不得将合同权利全部或部分转让</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给第三人，也不得全部或部分转移合同义务。</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w:t>
      </w:r>
      <w:r>
        <w:rPr>
          <w:rFonts w:ascii="宋体" w:hAnsi="宋体"/>
          <w:color w:val="auto"/>
          <w:kern w:val="2"/>
          <w:sz w:val="21"/>
          <w:szCs w:val="21"/>
          <w:highlight w:val="none"/>
        </w:rPr>
        <w:tab/>
      </w:r>
      <w:r>
        <w:rPr>
          <w:rFonts w:ascii="宋体" w:hAnsi="宋体" w:cs="宋体"/>
          <w:color w:val="auto"/>
          <w:kern w:val="2"/>
          <w:sz w:val="21"/>
          <w:szCs w:val="21"/>
          <w:highlight w:val="none"/>
        </w:rPr>
        <w:t>严禁贿赂</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合同双方当事人不得以贿赂或变相贿赂的方式，谋取不当利益或损害对方权益。因贿赂</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造成对方损失的，行为人应赔偿损失，并承担相应的法律责任。</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1.10</w:t>
      </w:r>
      <w:r>
        <w:rPr>
          <w:rFonts w:ascii="宋体" w:hAnsi="宋体"/>
          <w:color w:val="auto"/>
          <w:kern w:val="2"/>
          <w:sz w:val="21"/>
          <w:szCs w:val="21"/>
          <w:highlight w:val="none"/>
        </w:rPr>
        <w:tab/>
      </w:r>
      <w:r>
        <w:rPr>
          <w:rFonts w:ascii="宋体" w:hAnsi="宋体" w:cs="宋体"/>
          <w:color w:val="auto"/>
          <w:kern w:val="2"/>
          <w:sz w:val="21"/>
          <w:szCs w:val="21"/>
          <w:highlight w:val="none"/>
        </w:rPr>
        <w:t>化石、文物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1.10.1</w:t>
      </w:r>
      <w:r>
        <w:rPr>
          <w:rFonts w:ascii="宋体" w:hAnsi="宋体"/>
          <w:color w:val="auto"/>
          <w:kern w:val="2"/>
          <w:sz w:val="21"/>
          <w:szCs w:val="21"/>
          <w:highlight w:val="none"/>
        </w:rPr>
        <w:tab/>
      </w:r>
      <w:r>
        <w:rPr>
          <w:rFonts w:ascii="宋体" w:hAnsi="宋体" w:cs="宋体"/>
          <w:color w:val="auto"/>
          <w:kern w:val="2"/>
          <w:sz w:val="21"/>
          <w:szCs w:val="21"/>
          <w:highlight w:val="none"/>
        </w:rPr>
        <w:t>在施工场地发掘的所有文物、古迹以及具有地质研究或考古价值的其他遗迹、</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化石、钱币或物品属于国家所有。一旦发现上述文物，承包人应采取有效合理的保护措施，</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防止任何人员移动或损坏上述物品，并立即报告当地文物行政部门，同时通知监理人。发包</w:t>
      </w:r>
      <w:bookmarkStart w:id="696" w:name="page72"/>
      <w:bookmarkEnd w:id="696"/>
      <w:r>
        <w:rPr>
          <w:rFonts w:ascii="宋体" w:hAnsi="宋体"/>
          <w:color w:val="auto"/>
          <w:kern w:val="2"/>
          <w:sz w:val="21"/>
          <w:szCs w:val="21"/>
          <w:highlight w:val="none"/>
        </w:rPr>
        <w:t>.</w:t>
      </w:r>
      <w:r>
        <w:rPr>
          <w:rFonts w:ascii="宋体" w:hAnsi="宋体" w:cs="宋体"/>
          <w:color w:val="auto"/>
          <w:kern w:val="2"/>
          <w:sz w:val="21"/>
          <w:szCs w:val="21"/>
          <w:highlight w:val="none"/>
        </w:rPr>
        <w:t>人、监理人和承包人应按文物行政部门要求采取妥善保护措施，由此导致费用增加和（或）</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工期延误由发包人承担。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1.10.2</w:t>
      </w:r>
      <w:r>
        <w:rPr>
          <w:rFonts w:ascii="宋体" w:hAnsi="宋体"/>
          <w:color w:val="auto"/>
          <w:kern w:val="2"/>
          <w:sz w:val="21"/>
          <w:szCs w:val="21"/>
          <w:highlight w:val="none"/>
        </w:rPr>
        <w:tab/>
      </w:r>
      <w:r>
        <w:rPr>
          <w:rFonts w:ascii="宋体" w:hAnsi="宋体" w:cs="宋体"/>
          <w:color w:val="auto"/>
          <w:kern w:val="2"/>
          <w:sz w:val="21"/>
          <w:szCs w:val="21"/>
          <w:highlight w:val="none"/>
        </w:rPr>
        <w:t>承包人发现文物后不及时报告或隐瞒不报，致使文物丢失或损坏的，应赔偿损</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失，并承担相应的法律责任。</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w:t>
      </w:r>
      <w:r>
        <w:rPr>
          <w:rFonts w:ascii="宋体" w:hAnsi="宋体"/>
          <w:color w:val="auto"/>
          <w:kern w:val="2"/>
          <w:sz w:val="21"/>
          <w:szCs w:val="21"/>
          <w:highlight w:val="none"/>
        </w:rPr>
        <w:tab/>
      </w:r>
      <w:r>
        <w:rPr>
          <w:rFonts w:ascii="宋体" w:hAnsi="宋体" w:cs="宋体"/>
          <w:color w:val="auto"/>
          <w:kern w:val="2"/>
          <w:sz w:val="21"/>
          <w:szCs w:val="21"/>
          <w:highlight w:val="none"/>
        </w:rPr>
        <w:t>专利技术</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1.11.1</w:t>
      </w:r>
      <w:r>
        <w:rPr>
          <w:rFonts w:ascii="宋体" w:hAnsi="宋体"/>
          <w:color w:val="auto"/>
          <w:kern w:val="2"/>
          <w:sz w:val="21"/>
          <w:szCs w:val="21"/>
          <w:highlight w:val="none"/>
        </w:rPr>
        <w:tab/>
      </w:r>
      <w:r>
        <w:rPr>
          <w:rFonts w:ascii="宋体" w:hAnsi="宋体" w:cs="宋体"/>
          <w:color w:val="auto"/>
          <w:kern w:val="2"/>
          <w:sz w:val="21"/>
          <w:szCs w:val="21"/>
          <w:highlight w:val="none"/>
        </w:rPr>
        <w:t>承包人在使用任何材料、承包人设备、工程设备或采用施工工艺时，因侵犯专</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利权或其他知识产权所引起的责任，由承包人承担，但由于遵照发包人提供的设计或技术标</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准和要求引起的除外。</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1.11.2</w:t>
      </w:r>
      <w:r>
        <w:rPr>
          <w:rFonts w:ascii="宋体" w:hAnsi="宋体"/>
          <w:color w:val="auto"/>
          <w:kern w:val="2"/>
          <w:sz w:val="21"/>
          <w:szCs w:val="21"/>
          <w:highlight w:val="none"/>
        </w:rPr>
        <w:tab/>
      </w:r>
      <w:r>
        <w:rPr>
          <w:rFonts w:ascii="宋体" w:hAnsi="宋体" w:cs="宋体"/>
          <w:color w:val="auto"/>
          <w:kern w:val="2"/>
          <w:sz w:val="21"/>
          <w:szCs w:val="21"/>
          <w:highlight w:val="none"/>
        </w:rPr>
        <w:t>承包人在投标文件中采用专利技术的，专利技术的使用费包含在投标报价内。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1.11.3</w:t>
      </w:r>
      <w:r>
        <w:rPr>
          <w:rFonts w:ascii="宋体" w:hAnsi="宋体"/>
          <w:color w:val="auto"/>
          <w:kern w:val="2"/>
          <w:sz w:val="21"/>
          <w:szCs w:val="21"/>
          <w:highlight w:val="none"/>
        </w:rPr>
        <w:tab/>
      </w:r>
      <w:r>
        <w:rPr>
          <w:rFonts w:ascii="宋体" w:hAnsi="宋体" w:cs="宋体"/>
          <w:color w:val="auto"/>
          <w:kern w:val="2"/>
          <w:sz w:val="21"/>
          <w:szCs w:val="21"/>
          <w:highlight w:val="none"/>
        </w:rPr>
        <w:t>承包人的技术秘密和声明需要保密的资料和信息，发包人和监理人不得为合同</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以外的目的泄露给他人。</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w:t>
      </w:r>
      <w:r>
        <w:rPr>
          <w:rFonts w:ascii="宋体" w:hAnsi="宋体"/>
          <w:color w:val="auto"/>
          <w:kern w:val="2"/>
          <w:sz w:val="21"/>
          <w:szCs w:val="21"/>
          <w:highlight w:val="none"/>
        </w:rPr>
        <w:tab/>
      </w:r>
      <w:r>
        <w:rPr>
          <w:rFonts w:ascii="宋体" w:hAnsi="宋体" w:cs="宋体"/>
          <w:color w:val="auto"/>
          <w:kern w:val="2"/>
          <w:sz w:val="21"/>
          <w:szCs w:val="21"/>
          <w:highlight w:val="none"/>
        </w:rPr>
        <w:t>图纸和文件的保密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1.12.1</w:t>
      </w:r>
      <w:r>
        <w:rPr>
          <w:rFonts w:ascii="宋体" w:hAnsi="宋体"/>
          <w:color w:val="auto"/>
          <w:kern w:val="2"/>
          <w:sz w:val="21"/>
          <w:szCs w:val="21"/>
          <w:highlight w:val="none"/>
        </w:rPr>
        <w:tab/>
      </w:r>
      <w:r>
        <w:rPr>
          <w:rFonts w:ascii="宋体" w:hAnsi="宋体" w:cs="宋体"/>
          <w:color w:val="auto"/>
          <w:kern w:val="2"/>
          <w:sz w:val="21"/>
          <w:szCs w:val="21"/>
          <w:highlight w:val="none"/>
        </w:rPr>
        <w:t>发包人提供的图纸和文件，未经发包人同意，承包人不得为合同以外的目的泄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露给他人或公开发表与引用。</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1.12.2</w:t>
      </w:r>
      <w:r>
        <w:rPr>
          <w:rFonts w:ascii="宋体" w:hAnsi="宋体"/>
          <w:color w:val="auto"/>
          <w:kern w:val="2"/>
          <w:sz w:val="21"/>
          <w:szCs w:val="21"/>
          <w:highlight w:val="none"/>
        </w:rPr>
        <w:tab/>
      </w:r>
      <w:r>
        <w:rPr>
          <w:rFonts w:ascii="宋体" w:hAnsi="宋体" w:cs="宋体"/>
          <w:color w:val="auto"/>
          <w:kern w:val="2"/>
          <w:sz w:val="21"/>
          <w:szCs w:val="21"/>
          <w:highlight w:val="none"/>
        </w:rPr>
        <w:t>承包人提供的文件，未经承包人同意，发包人和监理人不得为合同以外的目的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泄露给他人或公开发表与引用。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2.发包人义务</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w:t>
      </w:r>
      <w:r>
        <w:rPr>
          <w:rFonts w:ascii="宋体" w:hAnsi="宋体"/>
          <w:color w:val="auto"/>
          <w:kern w:val="2"/>
          <w:sz w:val="21"/>
          <w:szCs w:val="21"/>
          <w:highlight w:val="none"/>
        </w:rPr>
        <w:tab/>
      </w:r>
      <w:r>
        <w:rPr>
          <w:rFonts w:ascii="宋体" w:hAnsi="宋体" w:cs="宋体"/>
          <w:color w:val="auto"/>
          <w:kern w:val="2"/>
          <w:sz w:val="21"/>
          <w:szCs w:val="21"/>
          <w:highlight w:val="none"/>
        </w:rPr>
        <w:t>遵守法律</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发包人在履行合同过程中应遵守法律，并保证承包人免于承担因发包人违反法律而引起</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的任何责任。</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w:t>
      </w:r>
      <w:r>
        <w:rPr>
          <w:rFonts w:ascii="宋体" w:hAnsi="宋体"/>
          <w:color w:val="auto"/>
          <w:kern w:val="2"/>
          <w:sz w:val="21"/>
          <w:szCs w:val="21"/>
          <w:highlight w:val="none"/>
        </w:rPr>
        <w:tab/>
      </w:r>
      <w:r>
        <w:rPr>
          <w:rFonts w:ascii="宋体" w:hAnsi="宋体" w:cs="宋体"/>
          <w:color w:val="auto"/>
          <w:kern w:val="2"/>
          <w:sz w:val="21"/>
          <w:szCs w:val="21"/>
          <w:highlight w:val="none"/>
        </w:rPr>
        <w:t>发出开工通知</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发包人应委托监理人按第 11.1 款的约定向承包人发出开工通知。</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w:t>
      </w:r>
      <w:r>
        <w:rPr>
          <w:rFonts w:ascii="宋体" w:hAnsi="宋体"/>
          <w:color w:val="auto"/>
          <w:kern w:val="2"/>
          <w:sz w:val="21"/>
          <w:szCs w:val="21"/>
          <w:highlight w:val="none"/>
        </w:rPr>
        <w:tab/>
      </w:r>
      <w:r>
        <w:rPr>
          <w:rFonts w:ascii="宋体" w:hAnsi="宋体" w:cs="宋体"/>
          <w:color w:val="auto"/>
          <w:kern w:val="2"/>
          <w:sz w:val="21"/>
          <w:szCs w:val="21"/>
          <w:highlight w:val="none"/>
        </w:rPr>
        <w:t>提供施工场地</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发包人应在约定期限前确保施工场地具备施工条件并移交给承包人，具体施工条件在</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Arial"/>
          <w:color w:val="auto"/>
          <w:kern w:val="2"/>
          <w:sz w:val="21"/>
          <w:szCs w:val="21"/>
          <w:highlight w:val="none"/>
        </w:rPr>
        <w:t>“</w:t>
      </w:r>
      <w:r>
        <w:rPr>
          <w:rFonts w:ascii="宋体" w:hAnsi="宋体" w:cs="宋体"/>
          <w:color w:val="auto"/>
          <w:kern w:val="2"/>
          <w:sz w:val="21"/>
          <w:szCs w:val="21"/>
          <w:highlight w:val="none"/>
        </w:rPr>
        <w:t>技术标准和要求</w:t>
      </w:r>
      <w:r>
        <w:rPr>
          <w:rFonts w:ascii="宋体" w:hAnsi="宋体" w:cs="Arial"/>
          <w:color w:val="auto"/>
          <w:kern w:val="2"/>
          <w:sz w:val="21"/>
          <w:szCs w:val="21"/>
          <w:highlight w:val="none"/>
        </w:rPr>
        <w:t>”</w:t>
      </w:r>
      <w:r>
        <w:rPr>
          <w:rFonts w:ascii="宋体" w:hAnsi="宋体" w:cs="宋体"/>
          <w:color w:val="auto"/>
          <w:kern w:val="2"/>
          <w:sz w:val="21"/>
          <w:szCs w:val="21"/>
          <w:highlight w:val="none"/>
        </w:rPr>
        <w:t>第一节</w:t>
      </w:r>
      <w:r>
        <w:rPr>
          <w:rFonts w:ascii="宋体" w:hAnsi="宋体" w:cs="Arial"/>
          <w:color w:val="auto"/>
          <w:kern w:val="2"/>
          <w:sz w:val="21"/>
          <w:szCs w:val="21"/>
          <w:highlight w:val="none"/>
        </w:rPr>
        <w:t>“</w:t>
      </w:r>
      <w:r>
        <w:rPr>
          <w:rFonts w:ascii="宋体" w:hAnsi="宋体" w:cs="宋体"/>
          <w:color w:val="auto"/>
          <w:kern w:val="2"/>
          <w:sz w:val="21"/>
          <w:szCs w:val="21"/>
          <w:highlight w:val="none"/>
        </w:rPr>
        <w:t>一般要求</w:t>
      </w:r>
      <w:r>
        <w:rPr>
          <w:rFonts w:ascii="宋体" w:hAnsi="宋体" w:cs="Arial"/>
          <w:color w:val="auto"/>
          <w:kern w:val="2"/>
          <w:sz w:val="21"/>
          <w:szCs w:val="21"/>
          <w:highlight w:val="none"/>
        </w:rPr>
        <w:t>”</w:t>
      </w:r>
      <w:r>
        <w:rPr>
          <w:rFonts w:ascii="宋体" w:hAnsi="宋体" w:cs="宋体"/>
          <w:color w:val="auto"/>
          <w:kern w:val="2"/>
          <w:sz w:val="21"/>
          <w:szCs w:val="21"/>
          <w:highlight w:val="none"/>
        </w:rPr>
        <w:t>中约定。发包人最迟应当在移交施工场地的同时向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承包人提供施工场地内地下管线和地下设施等有关资料，并保证资料的真实、准确和完整。</w:t>
      </w:r>
      <w:bookmarkStart w:id="697" w:name="page73"/>
      <w:bookmarkEnd w:id="697"/>
      <w:r>
        <w:rPr>
          <w:rFonts w:ascii="宋体" w:hAnsi="宋体" w:cs="宋体"/>
          <w:color w:val="auto"/>
          <w:kern w:val="2"/>
          <w:sz w:val="21"/>
          <w:szCs w:val="21"/>
          <w:highlight w:val="none"/>
        </w:rPr>
        <w:t>发包人移交施工场地的期限见合同条款专用部分。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w:t>
      </w:r>
      <w:r>
        <w:rPr>
          <w:rFonts w:ascii="宋体" w:hAnsi="宋体"/>
          <w:color w:val="auto"/>
          <w:kern w:val="2"/>
          <w:sz w:val="21"/>
          <w:szCs w:val="21"/>
          <w:highlight w:val="none"/>
        </w:rPr>
        <w:tab/>
      </w:r>
      <w:r>
        <w:rPr>
          <w:rFonts w:ascii="宋体" w:hAnsi="宋体" w:cs="宋体"/>
          <w:color w:val="auto"/>
          <w:kern w:val="2"/>
          <w:sz w:val="21"/>
          <w:szCs w:val="21"/>
          <w:highlight w:val="none"/>
        </w:rPr>
        <w:t>协助承包人办理证件和批件</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发包人应协助承包人办理法律规定的有关施工证件和批件。</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2.5</w:t>
      </w:r>
      <w:r>
        <w:rPr>
          <w:rFonts w:ascii="宋体" w:hAnsi="宋体"/>
          <w:color w:val="auto"/>
          <w:kern w:val="2"/>
          <w:sz w:val="21"/>
          <w:szCs w:val="21"/>
          <w:highlight w:val="none"/>
        </w:rPr>
        <w:tab/>
      </w:r>
      <w:r>
        <w:rPr>
          <w:rFonts w:ascii="宋体" w:hAnsi="宋体" w:cs="宋体"/>
          <w:color w:val="auto"/>
          <w:kern w:val="2"/>
          <w:sz w:val="21"/>
          <w:szCs w:val="21"/>
          <w:highlight w:val="none"/>
        </w:rPr>
        <w:t>组织设计交底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发包人应根据批准的合同进度计划，组织设计单位向承包人进行设计交底。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发包人应在第 11.1.1 项约定的开工日期前，组织设计人向承包人进行合同工程总体设</w:t>
      </w:r>
    </w:p>
    <w:p>
      <w:pPr>
        <w:adjustRightInd/>
        <w:ind w:right="6"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计交底（包括图纸会审）。发包人还应按照合同进度计划中载明的阶段性设计交底时间，组</w:t>
      </w:r>
    </w:p>
    <w:p>
      <w:pPr>
        <w:adjustRightInd/>
        <w:ind w:right="6"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织和安排阶段工程设计交底（包括图纸会审）。承包人应当以书面方式通过监理人向发包人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申请增加设计交底，发包人在认为确有必要且条件许可时，应当尽快组织这类设计交底。</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2.6</w:t>
      </w:r>
      <w:r>
        <w:rPr>
          <w:rFonts w:ascii="宋体" w:hAnsi="宋体"/>
          <w:color w:val="auto"/>
          <w:kern w:val="2"/>
          <w:sz w:val="21"/>
          <w:szCs w:val="21"/>
          <w:highlight w:val="none"/>
        </w:rPr>
        <w:tab/>
      </w:r>
      <w:r>
        <w:rPr>
          <w:rFonts w:ascii="宋体" w:hAnsi="宋体" w:cs="宋体"/>
          <w:color w:val="auto"/>
          <w:kern w:val="2"/>
          <w:sz w:val="21"/>
          <w:szCs w:val="21"/>
          <w:highlight w:val="none"/>
        </w:rPr>
        <w:t>支付合同价款</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发包人应按合同约定向承包人及时支付合同价款。</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2.7</w:t>
      </w:r>
      <w:r>
        <w:rPr>
          <w:rFonts w:ascii="宋体" w:hAnsi="宋体"/>
          <w:color w:val="auto"/>
          <w:kern w:val="2"/>
          <w:sz w:val="21"/>
          <w:szCs w:val="21"/>
          <w:highlight w:val="none"/>
        </w:rPr>
        <w:tab/>
      </w:r>
      <w:r>
        <w:rPr>
          <w:rFonts w:ascii="宋体" w:hAnsi="宋体" w:cs="宋体"/>
          <w:color w:val="auto"/>
          <w:kern w:val="2"/>
          <w:sz w:val="21"/>
          <w:szCs w:val="21"/>
          <w:highlight w:val="none"/>
        </w:rPr>
        <w:t>组织竣工验收</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发包人应按合同约定及时组织竣工验收。</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2.8</w:t>
      </w:r>
      <w:r>
        <w:rPr>
          <w:rFonts w:ascii="宋体" w:hAnsi="宋体"/>
          <w:color w:val="auto"/>
          <w:kern w:val="2"/>
          <w:sz w:val="21"/>
          <w:szCs w:val="21"/>
          <w:highlight w:val="none"/>
        </w:rPr>
        <w:tab/>
      </w:r>
      <w:r>
        <w:rPr>
          <w:rFonts w:ascii="宋体" w:hAnsi="宋体" w:cs="宋体"/>
          <w:color w:val="auto"/>
          <w:kern w:val="2"/>
          <w:sz w:val="21"/>
          <w:szCs w:val="21"/>
          <w:highlight w:val="none"/>
        </w:rPr>
        <w:t>向承包人提交支付担保</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（1）发包人要求承包人提交履约担保的，除合同条款专用部分另有约定的，在承包人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按合同条款第 4.2 款向发包人递交符合合同约定的履约担保的同时，发包人应当按照金额和</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条件对等的原则和合同文件中规定的格式或者其他经过承包人事先认可的格式向承包人递</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交一份支付担保。发包人提供支付担保格式见合同条款专用部分附件六。</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（2）支付担保的有效期应当自本合同生效之日起至发包人实际支付竣工付款之日止。</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（3）发包人无法获得一份不带具体截止日期的履约担保，支付担保中应当约定有</w:t>
      </w:r>
      <w:r>
        <w:rPr>
          <w:rFonts w:ascii="宋体" w:hAnsi="宋体" w:cs="Arial"/>
          <w:color w:val="auto"/>
          <w:kern w:val="2"/>
          <w:sz w:val="21"/>
          <w:szCs w:val="21"/>
          <w:highlight w:val="none"/>
        </w:rPr>
        <w:t>“</w:t>
      </w:r>
      <w:r>
        <w:rPr>
          <w:rFonts w:ascii="宋体" w:hAnsi="宋体" w:cs="宋体"/>
          <w:color w:val="auto"/>
          <w:kern w:val="2"/>
          <w:sz w:val="21"/>
          <w:szCs w:val="21"/>
          <w:highlight w:val="none"/>
        </w:rPr>
        <w:t>变</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更工程竣工付款支付日期的，保证期间按照变更后的竣工付款支付日期做相应调整</w:t>
      </w:r>
      <w:r>
        <w:rPr>
          <w:rFonts w:ascii="宋体" w:hAnsi="宋体" w:cs="Arial"/>
          <w:color w:val="auto"/>
          <w:kern w:val="2"/>
          <w:sz w:val="21"/>
          <w:szCs w:val="21"/>
          <w:highlight w:val="none"/>
        </w:rPr>
        <w:t>”</w:t>
      </w:r>
      <w:r>
        <w:rPr>
          <w:rFonts w:ascii="宋体" w:hAnsi="宋体" w:cs="宋体"/>
          <w:color w:val="auto"/>
          <w:kern w:val="2"/>
          <w:sz w:val="21"/>
          <w:szCs w:val="21"/>
          <w:highlight w:val="none"/>
        </w:rPr>
        <w:t>或类似</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约定的条款。</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（4）支付担保应当在发包人付清竣工付款之日后 28 天内退还给发包人；承包人不承担</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发包人与支付担保有关的任何利息或其它类似的费用或者收益。</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2.9</w:t>
      </w:r>
      <w:r>
        <w:rPr>
          <w:rFonts w:ascii="宋体" w:hAnsi="宋体"/>
          <w:color w:val="auto"/>
          <w:kern w:val="2"/>
          <w:sz w:val="21"/>
          <w:szCs w:val="21"/>
          <w:highlight w:val="none"/>
        </w:rPr>
        <w:tab/>
      </w:r>
      <w:r>
        <w:rPr>
          <w:rFonts w:ascii="宋体" w:hAnsi="宋体" w:cs="宋体"/>
          <w:color w:val="auto"/>
          <w:kern w:val="2"/>
          <w:sz w:val="21"/>
          <w:szCs w:val="21"/>
          <w:highlight w:val="none"/>
        </w:rPr>
        <w:t>办理工程质量监督手续</w:t>
      </w:r>
    </w:p>
    <w:p>
      <w:pPr>
        <w:adjustRightInd/>
        <w:ind w:left="7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发包人应按有关规定及时办理工程质量监督手续。</w:t>
      </w:r>
      <w:bookmarkStart w:id="698" w:name="page74"/>
      <w:bookmarkEnd w:id="698"/>
    </w:p>
    <w:p>
      <w:pPr>
        <w:adjustRightInd/>
        <w:ind w:firstLine="315" w:firstLineChars="15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2.10</w:t>
      </w:r>
      <w:r>
        <w:rPr>
          <w:rFonts w:ascii="宋体" w:hAnsi="宋体"/>
          <w:color w:val="auto"/>
          <w:kern w:val="2"/>
          <w:sz w:val="21"/>
          <w:szCs w:val="21"/>
          <w:highlight w:val="none"/>
        </w:rPr>
        <w:tab/>
      </w:r>
      <w:r>
        <w:rPr>
          <w:rFonts w:ascii="宋体" w:hAnsi="宋体" w:cs="宋体"/>
          <w:color w:val="auto"/>
          <w:kern w:val="2"/>
          <w:sz w:val="21"/>
          <w:szCs w:val="21"/>
          <w:highlight w:val="none"/>
        </w:rPr>
        <w:t>环境保护责任</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发包人对建筑垃圾处理、施工扬尘治理负总责。</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2.11</w:t>
      </w:r>
      <w:r>
        <w:rPr>
          <w:rFonts w:ascii="宋体" w:hAnsi="宋体"/>
          <w:color w:val="auto"/>
          <w:kern w:val="2"/>
          <w:sz w:val="21"/>
          <w:szCs w:val="21"/>
          <w:highlight w:val="none"/>
        </w:rPr>
        <w:tab/>
      </w:r>
      <w:r>
        <w:rPr>
          <w:rFonts w:ascii="宋体" w:hAnsi="宋体" w:cs="宋体"/>
          <w:color w:val="auto"/>
          <w:kern w:val="2"/>
          <w:sz w:val="21"/>
          <w:szCs w:val="21"/>
          <w:highlight w:val="none"/>
        </w:rPr>
        <w:t>移交工程档案</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发包人应根据建设行政主管部门和（或）城市建设档案管理机构的规定，收集、整理、</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立卷、归档工程资料，并按规定时间向建设行政主管部门或者城市建设档案管理机构移交规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定的工程档案。</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2.12</w:t>
      </w:r>
      <w:r>
        <w:rPr>
          <w:rFonts w:ascii="宋体" w:hAnsi="宋体"/>
          <w:color w:val="auto"/>
          <w:kern w:val="2"/>
          <w:sz w:val="21"/>
          <w:szCs w:val="21"/>
          <w:highlight w:val="none"/>
        </w:rPr>
        <w:tab/>
      </w:r>
      <w:r>
        <w:rPr>
          <w:rFonts w:ascii="宋体" w:hAnsi="宋体" w:cs="宋体"/>
          <w:color w:val="auto"/>
          <w:kern w:val="2"/>
          <w:sz w:val="21"/>
          <w:szCs w:val="21"/>
          <w:highlight w:val="none"/>
        </w:rPr>
        <w:t>批准和确认</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按照合同约定应当由监理人或者发包人回复、批复、批准和确认，或承包人提出修改意</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见的要求、请求、申请和报批等，自监理人或者发包人指定的接收人收到承包人发出的相应</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要求、请求、申请和报批之日起，如果监理人或者发包人在合同约定的期限内未予回复、批</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复、批准、确认或提出修改意见的，视为监理人和发包人已经同意、确认或者批准。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2.13</w:t>
      </w:r>
      <w:r>
        <w:rPr>
          <w:rFonts w:ascii="宋体" w:hAnsi="宋体"/>
          <w:color w:val="auto"/>
          <w:kern w:val="2"/>
          <w:sz w:val="21"/>
          <w:szCs w:val="21"/>
          <w:highlight w:val="none"/>
        </w:rPr>
        <w:tab/>
      </w:r>
      <w:r>
        <w:rPr>
          <w:rFonts w:ascii="宋体" w:hAnsi="宋体" w:cs="宋体"/>
          <w:color w:val="auto"/>
          <w:kern w:val="2"/>
          <w:sz w:val="21"/>
          <w:szCs w:val="21"/>
          <w:highlight w:val="none"/>
        </w:rPr>
        <w:t>其他义务</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发包人应履行的其他义务见合同条款专用部分。</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3.1</w:t>
      </w:r>
      <w:r>
        <w:rPr>
          <w:rFonts w:ascii="宋体" w:hAnsi="宋体"/>
          <w:color w:val="auto"/>
          <w:kern w:val="2"/>
          <w:sz w:val="21"/>
          <w:szCs w:val="21"/>
          <w:highlight w:val="none"/>
        </w:rPr>
        <w:tab/>
      </w:r>
      <w:r>
        <w:rPr>
          <w:rFonts w:ascii="宋体" w:hAnsi="宋体" w:cs="宋体"/>
          <w:color w:val="auto"/>
          <w:kern w:val="2"/>
          <w:sz w:val="21"/>
          <w:szCs w:val="21"/>
          <w:highlight w:val="none"/>
        </w:rPr>
        <w:t>监理人的职责和权力</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3.1.1</w:t>
      </w:r>
      <w:r>
        <w:rPr>
          <w:rFonts w:ascii="宋体" w:hAnsi="宋体"/>
          <w:color w:val="auto"/>
          <w:kern w:val="2"/>
          <w:sz w:val="21"/>
          <w:szCs w:val="21"/>
          <w:highlight w:val="none"/>
        </w:rPr>
        <w:tab/>
      </w:r>
      <w:r>
        <w:rPr>
          <w:rFonts w:ascii="宋体" w:hAnsi="宋体" w:cs="宋体"/>
          <w:color w:val="auto"/>
          <w:kern w:val="2"/>
          <w:sz w:val="21"/>
          <w:szCs w:val="21"/>
          <w:highlight w:val="none"/>
        </w:rPr>
        <w:t>监理人受发包人委托，享有合同约定的权力。监理人在行使某项权力前需要经</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发包人事先批准，合同条款通用部分没有指明的，应在合同中指明。监理人履行须经发包人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批准行使的权力时，应当向承包人出示其行使该权力已经取得发包人批准的文件或者其他合</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法有效的证明。发包人需批准明确行使的权力见合同条款专用部分。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3.1.2</w:t>
      </w:r>
      <w:r>
        <w:rPr>
          <w:rFonts w:ascii="宋体" w:hAnsi="宋体"/>
          <w:color w:val="auto"/>
          <w:kern w:val="2"/>
          <w:sz w:val="21"/>
          <w:szCs w:val="21"/>
          <w:highlight w:val="none"/>
        </w:rPr>
        <w:tab/>
      </w:r>
      <w:r>
        <w:rPr>
          <w:rFonts w:ascii="宋体" w:hAnsi="宋体" w:cs="宋体"/>
          <w:color w:val="auto"/>
          <w:kern w:val="2"/>
          <w:sz w:val="21"/>
          <w:szCs w:val="21"/>
          <w:highlight w:val="none"/>
        </w:rPr>
        <w:t>监理人发出的任何指示应视为已得到发包人的批准，但监理人无权免除或变更</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合同约定的发包人和承包人的权利、义务和责任。</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3.1.3</w:t>
      </w:r>
      <w:r>
        <w:rPr>
          <w:rFonts w:ascii="宋体" w:hAnsi="宋体"/>
          <w:color w:val="auto"/>
          <w:kern w:val="2"/>
          <w:sz w:val="21"/>
          <w:szCs w:val="21"/>
          <w:highlight w:val="none"/>
        </w:rPr>
        <w:tab/>
      </w:r>
      <w:r>
        <w:rPr>
          <w:rFonts w:ascii="宋体" w:hAnsi="宋体" w:cs="宋体"/>
          <w:color w:val="auto"/>
          <w:kern w:val="2"/>
          <w:sz w:val="21"/>
          <w:szCs w:val="21"/>
          <w:highlight w:val="none"/>
        </w:rPr>
        <w:t>合同约定应由承包人承担的义务和责任，不因监理人对承包人提交文件的审查</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或批准，对工程、材料和设备的检查和检验，以及为实施监理作出的指示等职务行为而减轻</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或解除。</w:t>
      </w:r>
    </w:p>
    <w:p>
      <w:pPr>
        <w:tabs>
          <w:tab w:val="left" w:pos="940"/>
        </w:tabs>
        <w:adjustRightInd/>
        <w:ind w:left="360" w:firstLine="0" w:firstLineChars="0"/>
        <w:jc w:val="both"/>
        <w:textAlignment w:val="auto"/>
        <w:rPr>
          <w:rFonts w:ascii="宋体" w:hAnsi="宋体"/>
          <w:color w:val="auto"/>
          <w:kern w:val="2"/>
          <w:sz w:val="21"/>
          <w:szCs w:val="21"/>
          <w:highlight w:val="none"/>
        </w:rPr>
      </w:pPr>
      <w:bookmarkStart w:id="699" w:name="page75"/>
      <w:bookmarkEnd w:id="699"/>
      <w:r>
        <w:rPr>
          <w:rFonts w:ascii="宋体" w:hAnsi="宋体" w:cs="宋体"/>
          <w:color w:val="auto"/>
          <w:kern w:val="2"/>
          <w:sz w:val="21"/>
          <w:szCs w:val="21"/>
          <w:highlight w:val="none"/>
        </w:rPr>
        <w:t>3.2</w:t>
      </w:r>
      <w:r>
        <w:rPr>
          <w:rFonts w:ascii="宋体" w:hAnsi="宋体"/>
          <w:color w:val="auto"/>
          <w:kern w:val="2"/>
          <w:sz w:val="21"/>
          <w:szCs w:val="21"/>
          <w:highlight w:val="none"/>
        </w:rPr>
        <w:tab/>
      </w:r>
      <w:r>
        <w:rPr>
          <w:rFonts w:ascii="宋体" w:hAnsi="宋体" w:cs="宋体"/>
          <w:color w:val="auto"/>
          <w:kern w:val="2"/>
          <w:sz w:val="21"/>
          <w:szCs w:val="21"/>
          <w:highlight w:val="none"/>
        </w:rPr>
        <w:t>总监理工程师</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发包人应在发出开工通知前将总监理工程师的任命通知承包人。总监理工程师更换时，</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应在调离 14 天前通知承包人。总监理工程师短期离开施工场地的，应委派代表代行其职责，</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并通知承包人。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3.3</w:t>
      </w:r>
      <w:r>
        <w:rPr>
          <w:rFonts w:ascii="宋体" w:hAnsi="宋体"/>
          <w:color w:val="auto"/>
          <w:kern w:val="2"/>
          <w:sz w:val="21"/>
          <w:szCs w:val="21"/>
          <w:highlight w:val="none"/>
        </w:rPr>
        <w:tab/>
      </w:r>
      <w:r>
        <w:rPr>
          <w:rFonts w:ascii="宋体" w:hAnsi="宋体" w:cs="宋体"/>
          <w:color w:val="auto"/>
          <w:kern w:val="2"/>
          <w:sz w:val="21"/>
          <w:szCs w:val="21"/>
          <w:highlight w:val="none"/>
        </w:rPr>
        <w:t>监理人员</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adjustRightInd/>
        <w:ind w:firstLine="0" w:firstLineChars="0"/>
        <w:jc w:val="both"/>
        <w:textAlignment w:val="auto"/>
        <w:rPr>
          <w:rFonts w:ascii="宋体" w:hAnsi="宋体"/>
          <w:color w:val="auto"/>
          <w:kern w:val="2"/>
          <w:sz w:val="21"/>
          <w:szCs w:val="21"/>
          <w:highlight w:val="none"/>
        </w:rPr>
      </w:pP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3.3.3 承包人对总监理工程师授权的监理人员发出的指示有疑问的，可向总监理工程师提出书面异议，总监理工程师应在 48 小时内对该指示予以确认、更改或撤销。</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3.3.4 总监理工程师不应将合同条款通用部分第 3.5 款约定应由总监理工程师作出确定的权力授权或者委托给其他监理人员。</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3.4</w:t>
      </w:r>
      <w:r>
        <w:rPr>
          <w:rFonts w:ascii="宋体" w:hAnsi="宋体"/>
          <w:color w:val="auto"/>
          <w:kern w:val="2"/>
          <w:sz w:val="21"/>
          <w:szCs w:val="21"/>
          <w:highlight w:val="none"/>
        </w:rPr>
        <w:tab/>
      </w:r>
      <w:r>
        <w:rPr>
          <w:rFonts w:ascii="宋体" w:hAnsi="宋体" w:cs="宋体"/>
          <w:color w:val="auto"/>
          <w:kern w:val="2"/>
          <w:sz w:val="21"/>
          <w:szCs w:val="21"/>
          <w:highlight w:val="none"/>
        </w:rPr>
        <w:t>监理人的指示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3.4.1 监理人应按第 3.1 款的约定向承包人发出指示，监理人的指示应加盖监理人授权的施工场地机构章，并由总监理工程师或总监理工程师按第 3.3.1 项约定授权的监理人员签字。</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3.4.2 承包人收到监理人按第 3.4.1 项作出的指示后，应遵照执行。指示构成变更的，应按第 15 条处理。</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3.4.3 在紧急情况下，总监理工程师或被授权的监理人员可以当场签发临时书面指示，承包人应遵照执行。承包人应在收到上述临时书面指示后 24 小时内，向监理人发出书面确认函。监理人在收到书面确认函后 24 小时内未予答复的，该书面确认函应被视为监理人的正式指示。</w:t>
      </w:r>
    </w:p>
    <w:p>
      <w:pPr>
        <w:adjustRightInd/>
        <w:ind w:left="360" w:right="346" w:firstLine="42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3.4.4 除合同另有约定外，承包人只从总监理工程师或按第 3.3.1 项被授权的监理人员处取得指示。</w:t>
      </w:r>
      <w:bookmarkStart w:id="700" w:name="page76"/>
      <w:bookmarkEnd w:id="700"/>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3.4.5</w:t>
      </w:r>
      <w:r>
        <w:rPr>
          <w:rFonts w:ascii="宋体" w:hAnsi="宋体"/>
          <w:color w:val="auto"/>
          <w:kern w:val="2"/>
          <w:sz w:val="21"/>
          <w:szCs w:val="21"/>
          <w:highlight w:val="none"/>
        </w:rPr>
        <w:tab/>
      </w:r>
      <w:r>
        <w:rPr>
          <w:rFonts w:ascii="宋体" w:hAnsi="宋体" w:cs="宋体"/>
          <w:color w:val="auto"/>
          <w:kern w:val="2"/>
          <w:sz w:val="21"/>
          <w:szCs w:val="21"/>
          <w:highlight w:val="none"/>
        </w:rPr>
        <w:t>由于监理人未能按合同约定发出指示、指示延误或指示错误而导致承包人费用增加和（或）工期延误的，由发包人承担赔偿责任。</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3.5</w:t>
      </w:r>
      <w:r>
        <w:rPr>
          <w:rFonts w:ascii="宋体" w:hAnsi="宋体"/>
          <w:color w:val="auto"/>
          <w:kern w:val="2"/>
          <w:sz w:val="21"/>
          <w:szCs w:val="21"/>
          <w:highlight w:val="none"/>
        </w:rPr>
        <w:tab/>
      </w:r>
      <w:r>
        <w:rPr>
          <w:rFonts w:ascii="宋体" w:hAnsi="宋体" w:cs="宋体"/>
          <w:color w:val="auto"/>
          <w:kern w:val="2"/>
          <w:sz w:val="21"/>
          <w:szCs w:val="21"/>
          <w:highlight w:val="none"/>
        </w:rPr>
        <w:t>商定或确定</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3.5.1</w:t>
      </w:r>
      <w:r>
        <w:rPr>
          <w:rFonts w:ascii="宋体" w:hAnsi="宋体"/>
          <w:color w:val="auto"/>
          <w:kern w:val="2"/>
          <w:sz w:val="21"/>
          <w:szCs w:val="21"/>
          <w:highlight w:val="none"/>
        </w:rPr>
        <w:tab/>
      </w:r>
      <w:r>
        <w:rPr>
          <w:rFonts w:ascii="宋体" w:hAnsi="宋体" w:cs="宋体"/>
          <w:color w:val="auto"/>
          <w:kern w:val="2"/>
          <w:sz w:val="21"/>
          <w:szCs w:val="21"/>
          <w:highlight w:val="none"/>
        </w:rPr>
        <w:t>总监理工程师应按照本款对任何事项进行商定或确定时，总监理工程师应与合</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同当事人协商，尽量达成一致。不能达成一致的，总监理工程师应认真研究后审慎确定。</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3.5.2</w:t>
      </w:r>
      <w:r>
        <w:rPr>
          <w:rFonts w:ascii="宋体" w:hAnsi="宋体"/>
          <w:color w:val="auto"/>
          <w:kern w:val="2"/>
          <w:sz w:val="21"/>
          <w:szCs w:val="21"/>
          <w:highlight w:val="none"/>
        </w:rPr>
        <w:tab/>
      </w:r>
      <w:r>
        <w:rPr>
          <w:rFonts w:ascii="宋体" w:hAnsi="宋体" w:cs="宋体"/>
          <w:color w:val="auto"/>
          <w:kern w:val="2"/>
          <w:sz w:val="21"/>
          <w:szCs w:val="21"/>
          <w:highlight w:val="none"/>
        </w:rPr>
        <w:t>总监理工程师应将商定或确定的事项通知合同当事人，并附详细依据。对总监</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理工程师的确定有异议的，构成争议，按照第 24 条的约定处理。在争议解决前，双方应暂</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按总监理工程师的确定执行；按照第 24 条的约定对总监理工程师的确定需要作出修改的，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按修改后的结果执行。</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3.6</w:t>
      </w:r>
      <w:r>
        <w:rPr>
          <w:rFonts w:ascii="宋体" w:hAnsi="宋体"/>
          <w:color w:val="auto"/>
          <w:kern w:val="2"/>
          <w:sz w:val="21"/>
          <w:szCs w:val="21"/>
          <w:highlight w:val="none"/>
        </w:rPr>
        <w:tab/>
      </w:r>
      <w:r>
        <w:rPr>
          <w:rFonts w:ascii="宋体" w:hAnsi="宋体" w:cs="宋体"/>
          <w:color w:val="auto"/>
          <w:kern w:val="2"/>
          <w:sz w:val="21"/>
          <w:szCs w:val="21"/>
          <w:highlight w:val="none"/>
        </w:rPr>
        <w:t>监理人的宽恕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监理人或者发包人就承包人对合同约定的任何责任和义务的某种违约行为的宽恕，不影</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响监理人和发包人在此后的任何时间严格按合同约定处理承包人的其它违约行为，也不意味</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发包人放弃合同约定的发包人与上述违约有关的任何权利和赔偿要求。</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w:t>
      </w:r>
      <w:r>
        <w:rPr>
          <w:rFonts w:ascii="宋体" w:hAnsi="宋体"/>
          <w:color w:val="auto"/>
          <w:kern w:val="2"/>
          <w:sz w:val="21"/>
          <w:szCs w:val="21"/>
          <w:highlight w:val="none"/>
        </w:rPr>
        <w:tab/>
      </w:r>
      <w:r>
        <w:rPr>
          <w:rFonts w:ascii="宋体" w:hAnsi="宋体" w:cs="宋体"/>
          <w:color w:val="auto"/>
          <w:kern w:val="2"/>
          <w:sz w:val="21"/>
          <w:szCs w:val="21"/>
          <w:highlight w:val="none"/>
        </w:rPr>
        <w:t>承包人的一般义务</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w:t>
      </w:r>
      <w:r>
        <w:rPr>
          <w:rFonts w:ascii="宋体" w:hAnsi="宋体"/>
          <w:color w:val="auto"/>
          <w:kern w:val="2"/>
          <w:sz w:val="21"/>
          <w:szCs w:val="21"/>
          <w:highlight w:val="none"/>
        </w:rPr>
        <w:tab/>
      </w:r>
      <w:r>
        <w:rPr>
          <w:rFonts w:ascii="宋体" w:hAnsi="宋体" w:cs="宋体"/>
          <w:color w:val="auto"/>
          <w:kern w:val="2"/>
          <w:sz w:val="21"/>
          <w:szCs w:val="21"/>
          <w:highlight w:val="none"/>
        </w:rPr>
        <w:t>遵守法律</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承包人在履行合同过程中应遵守法律，并保证发包人免于承担因承包人违反法律而引起的任何责任。</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4.1.2</w:t>
      </w:r>
      <w:r>
        <w:rPr>
          <w:rFonts w:ascii="宋体" w:hAnsi="宋体"/>
          <w:color w:val="auto"/>
          <w:kern w:val="2"/>
          <w:sz w:val="21"/>
          <w:szCs w:val="21"/>
          <w:highlight w:val="none"/>
        </w:rPr>
        <w:tab/>
      </w:r>
      <w:r>
        <w:rPr>
          <w:rFonts w:ascii="宋体" w:hAnsi="宋体" w:cs="宋体"/>
          <w:color w:val="auto"/>
          <w:kern w:val="2"/>
          <w:sz w:val="21"/>
          <w:szCs w:val="21"/>
          <w:highlight w:val="none"/>
        </w:rPr>
        <w:t>依法纳税</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承包人应按有关法律规定纳税，应缴纳的税金包括在合同价格内。</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4.1.3</w:t>
      </w:r>
      <w:r>
        <w:rPr>
          <w:rFonts w:ascii="宋体" w:hAnsi="宋体"/>
          <w:color w:val="auto"/>
          <w:kern w:val="2"/>
          <w:sz w:val="21"/>
          <w:szCs w:val="21"/>
          <w:highlight w:val="none"/>
        </w:rPr>
        <w:tab/>
      </w:r>
      <w:r>
        <w:rPr>
          <w:rFonts w:ascii="宋体" w:hAnsi="宋体" w:cs="宋体"/>
          <w:color w:val="auto"/>
          <w:kern w:val="2"/>
          <w:sz w:val="21"/>
          <w:szCs w:val="21"/>
          <w:highlight w:val="none"/>
        </w:rPr>
        <w:t>完成各项承包工作</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（1）承包人应按合同约定以及监理人根据第 3.4 款作出的指示，实施、完成全部工程，并修补工程中的任何缺陷。除第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（2）承包人还应当依法合规建立施工扬尘综合治理、建筑垃圾、土方和砂石清运与消</w:t>
      </w:r>
    </w:p>
    <w:p>
      <w:pPr>
        <w:adjustRightInd/>
        <w:ind w:left="360" w:right="346" w:firstLine="0" w:firstLineChars="0"/>
        <w:jc w:val="both"/>
        <w:textAlignment w:val="auto"/>
        <w:rPr>
          <w:rFonts w:ascii="宋体" w:hAnsi="宋体"/>
          <w:color w:val="auto"/>
          <w:kern w:val="2"/>
          <w:sz w:val="21"/>
          <w:szCs w:val="21"/>
          <w:highlight w:val="none"/>
        </w:rPr>
      </w:pPr>
      <w:bookmarkStart w:id="701" w:name="page77"/>
      <w:bookmarkEnd w:id="701"/>
      <w:r>
        <w:rPr>
          <w:rFonts w:ascii="宋体" w:hAnsi="宋体" w:cs="宋体"/>
          <w:color w:val="auto"/>
          <w:kern w:val="2"/>
          <w:sz w:val="21"/>
          <w:szCs w:val="21"/>
          <w:highlight w:val="none"/>
        </w:rPr>
        <w:t>纳、严禁使用高排放非道路移动机械和行业挥发性有机物治理（如建筑外墙涂装、钢结构等鼓励使用水性漆替代油性漆）等责任制，制定具体的管控机制和实施方案，严格落实。</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4.1.4</w:t>
      </w:r>
      <w:r>
        <w:rPr>
          <w:rFonts w:ascii="宋体" w:hAnsi="宋体"/>
          <w:color w:val="auto"/>
          <w:kern w:val="2"/>
          <w:sz w:val="21"/>
          <w:szCs w:val="21"/>
          <w:highlight w:val="none"/>
        </w:rPr>
        <w:tab/>
      </w:r>
      <w:r>
        <w:rPr>
          <w:rFonts w:ascii="宋体" w:hAnsi="宋体" w:cs="宋体"/>
          <w:color w:val="auto"/>
          <w:kern w:val="2"/>
          <w:sz w:val="21"/>
          <w:szCs w:val="21"/>
          <w:highlight w:val="none"/>
        </w:rPr>
        <w:t>对施工作业和施工方法的完备性负责</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承包人应按合同约定的工作内容和施工进度要求，编制施工组织设计和施工措施计划，并对所有施工作业和施工方法的完备性和安全可靠性负责。</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4.1.5</w:t>
      </w:r>
      <w:r>
        <w:rPr>
          <w:rFonts w:ascii="宋体" w:hAnsi="宋体"/>
          <w:color w:val="auto"/>
          <w:kern w:val="2"/>
          <w:sz w:val="21"/>
          <w:szCs w:val="21"/>
          <w:highlight w:val="none"/>
        </w:rPr>
        <w:tab/>
      </w:r>
      <w:r>
        <w:rPr>
          <w:rFonts w:ascii="宋体" w:hAnsi="宋体" w:cs="宋体"/>
          <w:color w:val="auto"/>
          <w:kern w:val="2"/>
          <w:sz w:val="21"/>
          <w:szCs w:val="21"/>
          <w:highlight w:val="none"/>
        </w:rPr>
        <w:t>保证工程施工和人员的安全</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承包人应按照第 9.2 款约定采取施工安全措施，确保工程及其人员、材料、设备和设施的安全，防止因工程施工造成的人身伤害和财产损失。</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4.1.6</w:t>
      </w:r>
      <w:r>
        <w:rPr>
          <w:rFonts w:ascii="宋体" w:hAnsi="宋体"/>
          <w:color w:val="auto"/>
          <w:kern w:val="2"/>
          <w:sz w:val="21"/>
          <w:szCs w:val="21"/>
          <w:highlight w:val="none"/>
        </w:rPr>
        <w:tab/>
      </w:r>
      <w:r>
        <w:rPr>
          <w:rFonts w:ascii="宋体" w:hAnsi="宋体" w:cs="宋体"/>
          <w:color w:val="auto"/>
          <w:kern w:val="2"/>
          <w:sz w:val="21"/>
          <w:szCs w:val="21"/>
          <w:highlight w:val="none"/>
        </w:rPr>
        <w:t>负责施工场地及其周边环境与生态的保护工作</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承包人应按照第 9.4 款约定负责施工场地及其周边环境与生态的保护工作。</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4.1.7</w:t>
      </w:r>
      <w:r>
        <w:rPr>
          <w:rFonts w:ascii="宋体" w:hAnsi="宋体"/>
          <w:color w:val="auto"/>
          <w:kern w:val="2"/>
          <w:sz w:val="21"/>
          <w:szCs w:val="21"/>
          <w:highlight w:val="none"/>
        </w:rPr>
        <w:tab/>
      </w:r>
      <w:r>
        <w:rPr>
          <w:rFonts w:ascii="宋体" w:hAnsi="宋体" w:cs="宋体"/>
          <w:color w:val="auto"/>
          <w:kern w:val="2"/>
          <w:sz w:val="21"/>
          <w:szCs w:val="21"/>
          <w:highlight w:val="none"/>
        </w:rPr>
        <w:t>避免施工对公众与他人的利益造成损害</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4.1.8</w:t>
      </w:r>
      <w:r>
        <w:rPr>
          <w:rFonts w:ascii="宋体" w:hAnsi="宋体"/>
          <w:color w:val="auto"/>
          <w:kern w:val="2"/>
          <w:sz w:val="21"/>
          <w:szCs w:val="21"/>
          <w:highlight w:val="none"/>
        </w:rPr>
        <w:tab/>
      </w:r>
      <w:r>
        <w:rPr>
          <w:rFonts w:ascii="宋体" w:hAnsi="宋体" w:cs="宋体"/>
          <w:color w:val="auto"/>
          <w:kern w:val="2"/>
          <w:sz w:val="21"/>
          <w:szCs w:val="21"/>
          <w:highlight w:val="none"/>
        </w:rPr>
        <w:t>为他人提供方便</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（2）承包人还应按照监理人指示为独立承包人以外的他人在施工场地或者附近实施与合同工程有关的其他工作提供可能的条件，可能发生费用由监理人按合同条款通用部分第 3.5 款商定或者确定。</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4.1.9</w:t>
      </w:r>
      <w:r>
        <w:rPr>
          <w:rFonts w:ascii="宋体" w:hAnsi="宋体"/>
          <w:color w:val="auto"/>
          <w:kern w:val="2"/>
          <w:sz w:val="21"/>
          <w:szCs w:val="21"/>
          <w:highlight w:val="none"/>
        </w:rPr>
        <w:tab/>
      </w:r>
      <w:r>
        <w:rPr>
          <w:rFonts w:ascii="宋体" w:hAnsi="宋体" w:cs="宋体"/>
          <w:color w:val="auto"/>
          <w:kern w:val="2"/>
          <w:sz w:val="21"/>
          <w:szCs w:val="21"/>
          <w:highlight w:val="none"/>
        </w:rPr>
        <w:t>工程的维护和照管</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工程接收证书颁发前，承包人应负责照管和维护工程。工程接收证书颁发时尚有部分未竣工工程的，承包人还应负责该未竣工工程的照管和维护工作，直至竣工后移交给发包人为止。</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4.1.10</w:t>
      </w:r>
      <w:r>
        <w:rPr>
          <w:rFonts w:ascii="宋体" w:hAnsi="宋体"/>
          <w:color w:val="auto"/>
          <w:kern w:val="2"/>
          <w:sz w:val="21"/>
          <w:szCs w:val="21"/>
          <w:highlight w:val="none"/>
        </w:rPr>
        <w:tab/>
      </w:r>
      <w:r>
        <w:rPr>
          <w:rFonts w:ascii="宋体" w:hAnsi="宋体" w:cs="宋体"/>
          <w:color w:val="auto"/>
          <w:kern w:val="2"/>
          <w:sz w:val="21"/>
          <w:szCs w:val="21"/>
          <w:highlight w:val="none"/>
        </w:rPr>
        <w:t>承包人的设计工作</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 1.6.2 项约定的承包人提供的文件，承包人应按照合同条款专用部分第 1.6.2 项约定的期限和数量提交，由此发生的费用被认为已经包括在承</w:t>
      </w:r>
      <w:bookmarkStart w:id="702" w:name="page78"/>
      <w:bookmarkEnd w:id="702"/>
      <w:r>
        <w:rPr>
          <w:rFonts w:ascii="宋体" w:hAnsi="宋体" w:cs="宋体"/>
          <w:color w:val="auto"/>
          <w:kern w:val="2"/>
          <w:sz w:val="21"/>
          <w:szCs w:val="21"/>
          <w:highlight w:val="none"/>
        </w:rPr>
        <w:t>包人的签约合同价（投标总报价）中。承包人承担的施工图设计或与工程配套的设计工作内容见合同条款专用部分。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4.1.11</w:t>
      </w:r>
      <w:r>
        <w:rPr>
          <w:rFonts w:ascii="宋体" w:hAnsi="宋体"/>
          <w:color w:val="auto"/>
          <w:kern w:val="2"/>
          <w:sz w:val="21"/>
          <w:szCs w:val="21"/>
          <w:highlight w:val="none"/>
        </w:rPr>
        <w:tab/>
      </w:r>
      <w:r>
        <w:rPr>
          <w:rFonts w:ascii="宋体" w:hAnsi="宋体" w:cs="宋体"/>
          <w:color w:val="auto"/>
          <w:kern w:val="2"/>
          <w:sz w:val="21"/>
          <w:szCs w:val="21"/>
          <w:highlight w:val="none"/>
        </w:rPr>
        <w:t>农民工工资保证金</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承包人应在银行设立工资保证金专用账户，专项用于发生欠薪时支付农民工工资的应急</w:t>
      </w:r>
    </w:p>
    <w:p>
      <w:pPr>
        <w:adjustRightInd/>
        <w:ind w:firstLine="0" w:firstLineChars="0"/>
        <w:jc w:val="both"/>
        <w:textAlignment w:val="auto"/>
        <w:rPr>
          <w:rFonts w:ascii="宋体" w:hAnsi="宋体"/>
          <w:color w:val="auto"/>
          <w:kern w:val="2"/>
          <w:sz w:val="21"/>
          <w:szCs w:val="21"/>
          <w:highlight w:val="none"/>
        </w:rPr>
      </w:pP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保障。账户内资金启用应当经建设主管部门和劳动保障行政部门批准。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4.1.12</w:t>
      </w:r>
      <w:r>
        <w:rPr>
          <w:rFonts w:ascii="宋体" w:hAnsi="宋体"/>
          <w:color w:val="auto"/>
          <w:kern w:val="2"/>
          <w:sz w:val="21"/>
          <w:szCs w:val="21"/>
          <w:highlight w:val="none"/>
        </w:rPr>
        <w:tab/>
      </w:r>
      <w:r>
        <w:rPr>
          <w:rFonts w:ascii="宋体" w:hAnsi="宋体" w:cs="宋体"/>
          <w:color w:val="auto"/>
          <w:kern w:val="2"/>
          <w:sz w:val="21"/>
          <w:szCs w:val="21"/>
          <w:highlight w:val="none"/>
        </w:rPr>
        <w:t>其他义务</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承包人应履行的其他义务见合同条款专用部分。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4.2</w:t>
      </w:r>
      <w:r>
        <w:rPr>
          <w:rFonts w:ascii="宋体" w:hAnsi="宋体"/>
          <w:color w:val="auto"/>
          <w:kern w:val="2"/>
          <w:sz w:val="21"/>
          <w:szCs w:val="21"/>
          <w:highlight w:val="none"/>
        </w:rPr>
        <w:tab/>
      </w:r>
      <w:r>
        <w:rPr>
          <w:rFonts w:ascii="宋体" w:hAnsi="宋体" w:cs="宋体"/>
          <w:color w:val="auto"/>
          <w:kern w:val="2"/>
          <w:sz w:val="21"/>
          <w:szCs w:val="21"/>
          <w:highlight w:val="none"/>
        </w:rPr>
        <w:t>履约担保</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4.2.1</w:t>
      </w:r>
      <w:r>
        <w:rPr>
          <w:rFonts w:ascii="宋体" w:hAnsi="宋体"/>
          <w:color w:val="auto"/>
          <w:kern w:val="2"/>
          <w:sz w:val="21"/>
          <w:szCs w:val="21"/>
          <w:highlight w:val="none"/>
        </w:rPr>
        <w:tab/>
      </w:r>
      <w:r>
        <w:rPr>
          <w:rFonts w:ascii="宋体" w:hAnsi="宋体" w:cs="宋体"/>
          <w:color w:val="auto"/>
          <w:kern w:val="2"/>
          <w:sz w:val="21"/>
          <w:szCs w:val="21"/>
          <w:highlight w:val="none"/>
        </w:rPr>
        <w:t>履约担保的格式和金额</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4.2.2</w:t>
      </w:r>
      <w:r>
        <w:rPr>
          <w:rFonts w:ascii="宋体" w:hAnsi="宋体"/>
          <w:color w:val="auto"/>
          <w:kern w:val="2"/>
          <w:sz w:val="21"/>
          <w:szCs w:val="21"/>
          <w:highlight w:val="none"/>
        </w:rPr>
        <w:tab/>
      </w:r>
      <w:r>
        <w:rPr>
          <w:rFonts w:ascii="宋体" w:hAnsi="宋体" w:cs="宋体"/>
          <w:color w:val="auto"/>
          <w:kern w:val="2"/>
          <w:sz w:val="21"/>
          <w:szCs w:val="21"/>
          <w:highlight w:val="none"/>
        </w:rPr>
        <w:t>履约担保的有效期</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履约担保的有效期应当自本合同生效之日起至发包人签认并由监理人向承包人出具工程接收证书之日止。如果承包人无法获得一份不带具体截止日期的担保，履约担保中就应当约定有</w:t>
      </w:r>
      <w:r>
        <w:rPr>
          <w:rFonts w:ascii="宋体" w:hAnsi="宋体" w:cs="Arial"/>
          <w:color w:val="auto"/>
          <w:kern w:val="2"/>
          <w:sz w:val="21"/>
          <w:szCs w:val="21"/>
          <w:highlight w:val="none"/>
        </w:rPr>
        <w:t>“</w:t>
      </w:r>
      <w:r>
        <w:rPr>
          <w:rFonts w:ascii="宋体" w:hAnsi="宋体" w:cs="宋体"/>
          <w:color w:val="auto"/>
          <w:kern w:val="2"/>
          <w:sz w:val="21"/>
          <w:szCs w:val="21"/>
          <w:highlight w:val="none"/>
        </w:rPr>
        <w:t>变更工程竣工日期的，保证期间按照变更后的竣工日期做相应调整</w:t>
      </w:r>
      <w:r>
        <w:rPr>
          <w:rFonts w:ascii="宋体" w:hAnsi="宋体" w:cs="Arial"/>
          <w:color w:val="auto"/>
          <w:kern w:val="2"/>
          <w:sz w:val="21"/>
          <w:szCs w:val="21"/>
          <w:highlight w:val="none"/>
        </w:rPr>
        <w:t>”</w:t>
      </w:r>
      <w:r>
        <w:rPr>
          <w:rFonts w:ascii="宋体" w:hAnsi="宋体" w:cs="宋体"/>
          <w:color w:val="auto"/>
          <w:kern w:val="2"/>
          <w:sz w:val="21"/>
          <w:szCs w:val="21"/>
          <w:highlight w:val="none"/>
        </w:rPr>
        <w:t>或类似约定的条款。</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4.2.3</w:t>
      </w:r>
      <w:r>
        <w:rPr>
          <w:rFonts w:ascii="宋体" w:hAnsi="宋体"/>
          <w:color w:val="auto"/>
          <w:kern w:val="2"/>
          <w:sz w:val="21"/>
          <w:szCs w:val="21"/>
          <w:highlight w:val="none"/>
        </w:rPr>
        <w:tab/>
      </w:r>
      <w:r>
        <w:rPr>
          <w:rFonts w:ascii="宋体" w:hAnsi="宋体" w:cs="宋体"/>
          <w:color w:val="auto"/>
          <w:kern w:val="2"/>
          <w:sz w:val="21"/>
          <w:szCs w:val="21"/>
          <w:highlight w:val="none"/>
        </w:rPr>
        <w:t>履约担保的退还</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履约担保应在监理人向承包人颁发（出具）工程接收证书之日后 28 天内退还给承包人。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发包人不承担承包人与履约担保有关的任何利息或其它类似的费用或者收益。</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4.2.4</w:t>
      </w:r>
      <w:r>
        <w:rPr>
          <w:rFonts w:ascii="宋体" w:hAnsi="宋体"/>
          <w:color w:val="auto"/>
          <w:kern w:val="2"/>
          <w:sz w:val="21"/>
          <w:szCs w:val="21"/>
          <w:highlight w:val="none"/>
        </w:rPr>
        <w:tab/>
      </w:r>
      <w:r>
        <w:rPr>
          <w:rFonts w:ascii="宋体" w:hAnsi="宋体" w:cs="宋体"/>
          <w:color w:val="auto"/>
          <w:kern w:val="2"/>
          <w:sz w:val="21"/>
          <w:szCs w:val="21"/>
          <w:highlight w:val="none"/>
        </w:rPr>
        <w:t>通知义务</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tbl>
      <w:tblPr>
        <w:tblStyle w:val="47"/>
        <w:tblW w:w="8380" w:type="dxa"/>
        <w:tblInd w:w="320" w:type="dxa"/>
        <w:tblLayout w:type="fixed"/>
        <w:tblCellMar>
          <w:top w:w="0" w:type="dxa"/>
          <w:left w:w="0" w:type="dxa"/>
          <w:bottom w:w="0" w:type="dxa"/>
          <w:right w:w="0" w:type="dxa"/>
        </w:tblCellMar>
      </w:tblPr>
      <w:tblGrid>
        <w:gridCol w:w="1160"/>
        <w:gridCol w:w="7220"/>
      </w:tblGrid>
      <w:tr>
        <w:tblPrEx>
          <w:tblLayout w:type="fixed"/>
          <w:tblCellMar>
            <w:top w:w="0" w:type="dxa"/>
            <w:left w:w="0" w:type="dxa"/>
            <w:bottom w:w="0" w:type="dxa"/>
            <w:right w:w="0" w:type="dxa"/>
          </w:tblCellMar>
        </w:tblPrEx>
        <w:trPr>
          <w:trHeight w:val="219" w:hRule="atLeast"/>
        </w:trPr>
        <w:tc>
          <w:tcPr>
            <w:tcW w:w="1160" w:type="dxa"/>
            <w:vAlign w:val="bottom"/>
          </w:tcPr>
          <w:p>
            <w:pPr>
              <w:adjustRightInd/>
              <w:ind w:firstLine="0" w:firstLineChars="0"/>
              <w:jc w:val="both"/>
              <w:textAlignment w:val="auto"/>
              <w:rPr>
                <w:rFonts w:ascii="宋体" w:hAnsi="宋体"/>
                <w:color w:val="auto"/>
                <w:kern w:val="2"/>
                <w:sz w:val="21"/>
                <w:szCs w:val="21"/>
                <w:highlight w:val="none"/>
              </w:rPr>
            </w:pPr>
            <w:bookmarkStart w:id="703" w:name="page79"/>
            <w:bookmarkEnd w:id="703"/>
          </w:p>
        </w:tc>
        <w:tc>
          <w:tcPr>
            <w:tcW w:w="7220" w:type="dxa"/>
            <w:vAlign w:val="bottom"/>
          </w:tcPr>
          <w:p>
            <w:pPr>
              <w:adjustRightInd/>
              <w:ind w:firstLine="0" w:firstLineChars="0"/>
              <w:jc w:val="right"/>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43" w:hRule="atLeast"/>
        </w:trPr>
        <w:tc>
          <w:tcPr>
            <w:tcW w:w="1160" w:type="dxa"/>
            <w:tcBorders>
              <w:bottom w:val="single" w:color="auto" w:sz="8" w:space="0"/>
            </w:tcBorders>
            <w:vAlign w:val="bottom"/>
          </w:tcPr>
          <w:p>
            <w:pPr>
              <w:adjustRightInd/>
              <w:ind w:firstLine="0" w:firstLineChars="0"/>
              <w:jc w:val="both"/>
              <w:textAlignment w:val="auto"/>
              <w:rPr>
                <w:rFonts w:ascii="宋体" w:hAnsi="宋体"/>
                <w:color w:val="auto"/>
                <w:kern w:val="2"/>
                <w:sz w:val="21"/>
                <w:szCs w:val="21"/>
                <w:highlight w:val="none"/>
              </w:rPr>
            </w:pPr>
          </w:p>
        </w:tc>
        <w:tc>
          <w:tcPr>
            <w:tcW w:w="7220" w:type="dxa"/>
            <w:tcBorders>
              <w:bottom w:val="single" w:color="auto" w:sz="8" w:space="0"/>
            </w:tcBorders>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20" w:hRule="atLeast"/>
        </w:trPr>
        <w:tc>
          <w:tcPr>
            <w:tcW w:w="1160" w:type="dxa"/>
            <w:tcBorders>
              <w:bottom w:val="single" w:color="auto" w:sz="8" w:space="0"/>
            </w:tcBorders>
            <w:vAlign w:val="bottom"/>
          </w:tcPr>
          <w:p>
            <w:pPr>
              <w:adjustRightInd/>
              <w:ind w:firstLine="0" w:firstLineChars="0"/>
              <w:jc w:val="both"/>
              <w:textAlignment w:val="auto"/>
              <w:rPr>
                <w:rFonts w:ascii="宋体" w:hAnsi="宋体"/>
                <w:color w:val="auto"/>
                <w:kern w:val="2"/>
                <w:sz w:val="21"/>
                <w:szCs w:val="21"/>
                <w:highlight w:val="none"/>
              </w:rPr>
            </w:pPr>
          </w:p>
        </w:tc>
        <w:tc>
          <w:tcPr>
            <w:tcW w:w="7220" w:type="dxa"/>
            <w:tcBorders>
              <w:bottom w:val="single" w:color="auto" w:sz="8" w:space="0"/>
            </w:tcBorders>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616" w:hRule="atLeast"/>
        </w:trPr>
        <w:tc>
          <w:tcPr>
            <w:tcW w:w="1160" w:type="dxa"/>
            <w:vAlign w:val="bottom"/>
          </w:tcPr>
          <w:p>
            <w:pPr>
              <w:adjustRightInd/>
              <w:ind w:left="4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  分包</w:t>
            </w:r>
          </w:p>
        </w:tc>
        <w:tc>
          <w:tcPr>
            <w:tcW w:w="7220" w:type="dxa"/>
            <w:vAlign w:val="bottom"/>
          </w:tcPr>
          <w:p>
            <w:pPr>
              <w:adjustRightInd/>
              <w:ind w:firstLine="0" w:firstLineChars="0"/>
              <w:jc w:val="both"/>
              <w:textAlignment w:val="auto"/>
              <w:rPr>
                <w:rFonts w:ascii="宋体" w:hAnsi="宋体"/>
                <w:color w:val="auto"/>
                <w:kern w:val="2"/>
                <w:sz w:val="21"/>
                <w:szCs w:val="21"/>
                <w:highlight w:val="none"/>
              </w:rPr>
            </w:pPr>
          </w:p>
        </w:tc>
      </w:tr>
      <w:tr>
        <w:tblPrEx>
          <w:tblLayout w:type="fixed"/>
          <w:tblCellMar>
            <w:top w:w="0" w:type="dxa"/>
            <w:left w:w="0" w:type="dxa"/>
            <w:bottom w:w="0" w:type="dxa"/>
            <w:right w:w="0" w:type="dxa"/>
          </w:tblCellMar>
        </w:tblPrEx>
        <w:trPr>
          <w:trHeight w:val="611" w:hRule="atLeast"/>
        </w:trPr>
        <w:tc>
          <w:tcPr>
            <w:tcW w:w="1160" w:type="dxa"/>
            <w:vAlign w:val="bottom"/>
          </w:tcPr>
          <w:p>
            <w:pPr>
              <w:adjustRightInd/>
              <w:ind w:right="72"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4.3.1</w:t>
            </w:r>
          </w:p>
        </w:tc>
        <w:tc>
          <w:tcPr>
            <w:tcW w:w="7220" w:type="dxa"/>
            <w:vAlign w:val="bottom"/>
          </w:tcPr>
          <w:p>
            <w:pPr>
              <w:adjustRightInd/>
              <w:ind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承包人不得将其承包的全部工程转包给第三人，或将其承包的全部工程肢解后</w:t>
            </w:r>
          </w:p>
        </w:tc>
      </w:tr>
      <w:tr>
        <w:tblPrEx>
          <w:tblLayout w:type="fixed"/>
          <w:tblCellMar>
            <w:top w:w="0" w:type="dxa"/>
            <w:left w:w="0" w:type="dxa"/>
            <w:bottom w:w="0" w:type="dxa"/>
            <w:right w:w="0" w:type="dxa"/>
          </w:tblCellMar>
        </w:tblPrEx>
        <w:trPr>
          <w:trHeight w:val="468" w:hRule="atLeast"/>
        </w:trPr>
        <w:tc>
          <w:tcPr>
            <w:tcW w:w="8380" w:type="dxa"/>
            <w:gridSpan w:val="2"/>
            <w:vAlign w:val="bottom"/>
          </w:tcPr>
          <w:p>
            <w:pPr>
              <w:adjustRightInd/>
              <w:ind w:left="4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以分包的名义转包给第三人。</w:t>
            </w:r>
          </w:p>
        </w:tc>
      </w:tr>
      <w:tr>
        <w:tblPrEx>
          <w:tblLayout w:type="fixed"/>
          <w:tblCellMar>
            <w:top w:w="0" w:type="dxa"/>
            <w:left w:w="0" w:type="dxa"/>
            <w:bottom w:w="0" w:type="dxa"/>
            <w:right w:w="0" w:type="dxa"/>
          </w:tblCellMar>
        </w:tblPrEx>
        <w:trPr>
          <w:trHeight w:val="468" w:hRule="atLeast"/>
        </w:trPr>
        <w:tc>
          <w:tcPr>
            <w:tcW w:w="1160" w:type="dxa"/>
            <w:vAlign w:val="bottom"/>
          </w:tcPr>
          <w:p>
            <w:pPr>
              <w:adjustRightInd/>
              <w:ind w:right="72"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4.3.2</w:t>
            </w:r>
          </w:p>
        </w:tc>
        <w:tc>
          <w:tcPr>
            <w:tcW w:w="7220" w:type="dxa"/>
            <w:vAlign w:val="bottom"/>
          </w:tcPr>
          <w:p>
            <w:pPr>
              <w:adjustRightInd/>
              <w:ind w:right="2258"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承包人不得将工程主体、关键性工作分包给第三人。</w:t>
            </w:r>
          </w:p>
        </w:tc>
      </w:tr>
      <w:tr>
        <w:tblPrEx>
          <w:tblLayout w:type="fixed"/>
          <w:tblCellMar>
            <w:top w:w="0" w:type="dxa"/>
            <w:left w:w="0" w:type="dxa"/>
            <w:bottom w:w="0" w:type="dxa"/>
            <w:right w:w="0" w:type="dxa"/>
          </w:tblCellMar>
        </w:tblPrEx>
        <w:trPr>
          <w:trHeight w:val="468" w:hRule="atLeast"/>
        </w:trPr>
        <w:tc>
          <w:tcPr>
            <w:tcW w:w="1160" w:type="dxa"/>
            <w:vAlign w:val="bottom"/>
          </w:tcPr>
          <w:p>
            <w:pPr>
              <w:adjustRightInd/>
              <w:ind w:right="72"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4.3.3</w:t>
            </w:r>
          </w:p>
        </w:tc>
        <w:tc>
          <w:tcPr>
            <w:tcW w:w="7220" w:type="dxa"/>
            <w:vAlign w:val="bottom"/>
          </w:tcPr>
          <w:p>
            <w:pPr>
              <w:adjustRightInd/>
              <w:ind w:firstLine="0" w:firstLineChars="0"/>
              <w:jc w:val="right"/>
              <w:textAlignment w:val="auto"/>
              <w:rPr>
                <w:rFonts w:ascii="宋体" w:hAnsi="宋体"/>
                <w:color w:val="auto"/>
                <w:kern w:val="2"/>
                <w:sz w:val="21"/>
                <w:szCs w:val="21"/>
                <w:highlight w:val="none"/>
              </w:rPr>
            </w:pPr>
            <w:r>
              <w:rPr>
                <w:rFonts w:ascii="宋体" w:hAnsi="宋体" w:cs="宋体"/>
                <w:color w:val="auto"/>
                <w:kern w:val="2"/>
                <w:sz w:val="21"/>
                <w:szCs w:val="21"/>
                <w:highlight w:val="none"/>
              </w:rPr>
              <w:t>未经发包人同意，承包人不得将其自行施工范围工程的其他部分或工作分包给</w:t>
            </w:r>
          </w:p>
        </w:tc>
      </w:tr>
    </w:tbl>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第三人。发包人同意承包人分包的非主体、非关键性工作包括：</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（1）投标函附录约定的分包工程；</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（2）除投标函附录中约定的分包内容外，经过发包人和监理人同意的其他非主体、非关键性工作，但分包人应当经过发包人和监理人审批。发包人和监理人有权拒绝承包人的分包请求和承包人选择的分包人。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4.3.4 发包人在工程量清单中给定暂估价的专业工程，包括从暂列金额开支的专业工程，达到依法应当招标的规模标准的，以及虽未达到规定的规模标准但合同中约定采用招标方式实施的，应当按第 15.8.1 项的约定，由发包人和承包人以招标方式确定专业分包人。除项目审批部门有特别核准外，暂估价的专业工程的招标应当采用与施工总承包同样的招标方式。</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4.3.5</w:t>
      </w:r>
      <w:r>
        <w:rPr>
          <w:rFonts w:ascii="宋体" w:hAnsi="宋体"/>
          <w:color w:val="auto"/>
          <w:kern w:val="2"/>
          <w:sz w:val="21"/>
          <w:szCs w:val="21"/>
          <w:highlight w:val="none"/>
        </w:rPr>
        <w:tab/>
      </w:r>
      <w:r>
        <w:rPr>
          <w:rFonts w:ascii="宋体" w:hAnsi="宋体" w:cs="宋体"/>
          <w:color w:val="auto"/>
          <w:kern w:val="2"/>
          <w:sz w:val="21"/>
          <w:szCs w:val="21"/>
          <w:highlight w:val="none"/>
        </w:rPr>
        <w:t>在相关分包合同签订并报送有关建设行政主管部门备案后 7 天内，承包人应当</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将一份副本提交给监理人，承包人应保障分包工作不得再次分包。</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4.3.7</w:t>
      </w:r>
      <w:r>
        <w:rPr>
          <w:rFonts w:ascii="宋体" w:hAnsi="宋体"/>
          <w:color w:val="auto"/>
          <w:kern w:val="2"/>
          <w:sz w:val="21"/>
          <w:szCs w:val="21"/>
          <w:highlight w:val="none"/>
        </w:rPr>
        <w:tab/>
      </w:r>
      <w:r>
        <w:rPr>
          <w:rFonts w:ascii="宋体" w:hAnsi="宋体" w:cs="宋体"/>
          <w:color w:val="auto"/>
          <w:kern w:val="2"/>
          <w:sz w:val="21"/>
          <w:szCs w:val="21"/>
          <w:highlight w:val="none"/>
        </w:rPr>
        <w:t>未经发包人和监理人审批同意的分包工程和分包人，发包人有权拒绝验收分包</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工程和支付相应款项，由此引起的承包人费用增加和（或）延误的工期由承包人承担。</w:t>
      </w:r>
    </w:p>
    <w:tbl>
      <w:tblPr>
        <w:tblStyle w:val="47"/>
        <w:tblW w:w="7040" w:type="dxa"/>
        <w:tblInd w:w="780" w:type="dxa"/>
        <w:tblLayout w:type="fixed"/>
        <w:tblCellMar>
          <w:top w:w="0" w:type="dxa"/>
          <w:left w:w="0" w:type="dxa"/>
          <w:bottom w:w="0" w:type="dxa"/>
          <w:right w:w="0" w:type="dxa"/>
        </w:tblCellMar>
      </w:tblPr>
      <w:tblGrid>
        <w:gridCol w:w="680"/>
        <w:gridCol w:w="6360"/>
      </w:tblGrid>
      <w:tr>
        <w:tblPrEx>
          <w:tblLayout w:type="fixed"/>
          <w:tblCellMar>
            <w:top w:w="0" w:type="dxa"/>
            <w:left w:w="0" w:type="dxa"/>
            <w:bottom w:w="0" w:type="dxa"/>
            <w:right w:w="0" w:type="dxa"/>
          </w:tblCellMar>
        </w:tblPrEx>
        <w:trPr>
          <w:trHeight w:val="240" w:hRule="atLeast"/>
        </w:trPr>
        <w:tc>
          <w:tcPr>
            <w:tcW w:w="68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4.3.8</w:t>
            </w:r>
          </w:p>
        </w:tc>
        <w:tc>
          <w:tcPr>
            <w:tcW w:w="636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分包人的资格能力应与其分包工程的标准和规模相适应。</w:t>
            </w:r>
          </w:p>
        </w:tc>
      </w:tr>
      <w:tr>
        <w:tblPrEx>
          <w:tblLayout w:type="fixed"/>
          <w:tblCellMar>
            <w:top w:w="0" w:type="dxa"/>
            <w:left w:w="0" w:type="dxa"/>
            <w:bottom w:w="0" w:type="dxa"/>
            <w:right w:w="0" w:type="dxa"/>
          </w:tblCellMar>
        </w:tblPrEx>
        <w:trPr>
          <w:trHeight w:val="469" w:hRule="atLeast"/>
        </w:trPr>
        <w:tc>
          <w:tcPr>
            <w:tcW w:w="68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4.3.9</w:t>
            </w:r>
          </w:p>
        </w:tc>
        <w:tc>
          <w:tcPr>
            <w:tcW w:w="6360" w:type="dxa"/>
            <w:vAlign w:val="bottom"/>
          </w:tcPr>
          <w:p>
            <w:pPr>
              <w:adjustRightInd/>
              <w:ind w:left="6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发包人同意的分包工程，承包人应向发包人和监理人提供合同副本。</w:t>
            </w:r>
          </w:p>
        </w:tc>
      </w:tr>
      <w:tr>
        <w:tblPrEx>
          <w:tblLayout w:type="fixed"/>
          <w:tblCellMar>
            <w:top w:w="0" w:type="dxa"/>
            <w:left w:w="0" w:type="dxa"/>
            <w:bottom w:w="0" w:type="dxa"/>
            <w:right w:w="0" w:type="dxa"/>
          </w:tblCellMar>
        </w:tblPrEx>
        <w:trPr>
          <w:trHeight w:val="468" w:hRule="atLeast"/>
        </w:trPr>
        <w:tc>
          <w:tcPr>
            <w:tcW w:w="680" w:type="dxa"/>
            <w:vAlign w:val="bottom"/>
          </w:tcPr>
          <w:p>
            <w:pPr>
              <w:adjustRightInd/>
              <w:ind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4.3.10</w:t>
            </w:r>
          </w:p>
        </w:tc>
        <w:tc>
          <w:tcPr>
            <w:tcW w:w="6360" w:type="dxa"/>
            <w:vAlign w:val="bottom"/>
          </w:tcPr>
          <w:p>
            <w:pPr>
              <w:adjustRightInd/>
              <w:ind w:left="1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承包人应与分包人就分包工程向发包人承担连带责任。</w:t>
            </w:r>
          </w:p>
        </w:tc>
      </w:tr>
    </w:tbl>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4.4</w:t>
      </w:r>
      <w:r>
        <w:rPr>
          <w:rFonts w:ascii="宋体" w:hAnsi="宋体"/>
          <w:color w:val="auto"/>
          <w:kern w:val="2"/>
          <w:sz w:val="21"/>
          <w:szCs w:val="21"/>
          <w:highlight w:val="none"/>
        </w:rPr>
        <w:tab/>
      </w:r>
      <w:r>
        <w:rPr>
          <w:rFonts w:ascii="宋体" w:hAnsi="宋体" w:cs="宋体"/>
          <w:color w:val="auto"/>
          <w:kern w:val="2"/>
          <w:sz w:val="21"/>
          <w:szCs w:val="21"/>
          <w:highlight w:val="none"/>
        </w:rPr>
        <w:t>联合体</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4.4.1</w:t>
      </w:r>
      <w:r>
        <w:rPr>
          <w:rFonts w:ascii="宋体" w:hAnsi="宋体"/>
          <w:color w:val="auto"/>
          <w:kern w:val="2"/>
          <w:sz w:val="21"/>
          <w:szCs w:val="21"/>
          <w:highlight w:val="none"/>
        </w:rPr>
        <w:tab/>
      </w:r>
      <w:r>
        <w:rPr>
          <w:rFonts w:ascii="宋体" w:hAnsi="宋体" w:cs="宋体"/>
          <w:color w:val="auto"/>
          <w:kern w:val="2"/>
          <w:sz w:val="21"/>
          <w:szCs w:val="21"/>
          <w:highlight w:val="none"/>
        </w:rPr>
        <w:t>联合体各方应共同与发包人签订合同协议书。联合体各方应为履行合同承担连</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带责任。</w:t>
      </w:r>
    </w:p>
    <w:p>
      <w:pPr>
        <w:tabs>
          <w:tab w:val="left" w:pos="1500"/>
        </w:tabs>
        <w:adjustRightInd/>
        <w:ind w:left="780" w:firstLine="0" w:firstLineChars="0"/>
        <w:jc w:val="both"/>
        <w:textAlignment w:val="auto"/>
        <w:rPr>
          <w:rFonts w:ascii="宋体" w:hAnsi="宋体"/>
          <w:color w:val="auto"/>
          <w:kern w:val="2"/>
          <w:sz w:val="21"/>
          <w:szCs w:val="21"/>
          <w:highlight w:val="none"/>
        </w:rPr>
      </w:pPr>
      <w:bookmarkStart w:id="704" w:name="page80"/>
      <w:bookmarkEnd w:id="704"/>
      <w:r>
        <w:rPr>
          <w:rFonts w:ascii="宋体" w:hAnsi="宋体" w:cs="宋体"/>
          <w:color w:val="auto"/>
          <w:kern w:val="2"/>
          <w:sz w:val="21"/>
          <w:szCs w:val="21"/>
          <w:highlight w:val="none"/>
        </w:rPr>
        <w:t>4.4.2</w:t>
      </w:r>
      <w:r>
        <w:rPr>
          <w:rFonts w:ascii="宋体" w:hAnsi="宋体"/>
          <w:color w:val="auto"/>
          <w:kern w:val="2"/>
          <w:sz w:val="21"/>
          <w:szCs w:val="21"/>
          <w:highlight w:val="none"/>
        </w:rPr>
        <w:tab/>
      </w:r>
      <w:r>
        <w:rPr>
          <w:rFonts w:ascii="宋体" w:hAnsi="宋体" w:cs="宋体"/>
          <w:color w:val="auto"/>
          <w:kern w:val="2"/>
          <w:sz w:val="21"/>
          <w:szCs w:val="21"/>
          <w:highlight w:val="none"/>
        </w:rPr>
        <w:t>联合体协议经发包人确认后作为合同附件。在履行合同过程中，未经发包人同</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意，不得修改联合体协议。</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4.4.3</w:t>
      </w:r>
      <w:r>
        <w:rPr>
          <w:rFonts w:ascii="宋体" w:hAnsi="宋体"/>
          <w:color w:val="auto"/>
          <w:kern w:val="2"/>
          <w:sz w:val="21"/>
          <w:szCs w:val="21"/>
          <w:highlight w:val="none"/>
        </w:rPr>
        <w:tab/>
      </w:r>
      <w:r>
        <w:rPr>
          <w:rFonts w:ascii="宋体" w:hAnsi="宋体" w:cs="宋体"/>
          <w:color w:val="auto"/>
          <w:kern w:val="2"/>
          <w:sz w:val="21"/>
          <w:szCs w:val="21"/>
          <w:highlight w:val="none"/>
        </w:rPr>
        <w:t>联合体牵头人负责与发包人和监理人联系，并接受指示，负责组织联合体各成</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员全面履行合同。</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4.5</w:t>
      </w:r>
      <w:r>
        <w:rPr>
          <w:rFonts w:ascii="宋体" w:hAnsi="宋体"/>
          <w:color w:val="auto"/>
          <w:kern w:val="2"/>
          <w:sz w:val="21"/>
          <w:szCs w:val="21"/>
          <w:highlight w:val="none"/>
        </w:rPr>
        <w:tab/>
      </w:r>
      <w:r>
        <w:rPr>
          <w:rFonts w:ascii="宋体" w:hAnsi="宋体" w:cs="宋体"/>
          <w:color w:val="auto"/>
          <w:kern w:val="2"/>
          <w:sz w:val="21"/>
          <w:szCs w:val="21"/>
          <w:highlight w:val="none"/>
        </w:rPr>
        <w:t>承包人项目经理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4.5.1 承包人项目经理必须与承包人投标时所承诺的人员一致，并在根据第 11.1.1 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 14 天前通知发包人和监理人。承包人项目经理短期离开施工场地，应事先征得监理人同意，并委派代表代行其职责。</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4.5.2 承包人项目经理应按合同约定以及监理人按第 3.4 款作出的指示，负责组织合同工程的实施。在情况紧急且无法与监理人取得联系时，可采取保证工程和人员生命财产安全的紧急措施，并在采取措施后 24 小时内向监理人提交书面报告。</w:t>
      </w:r>
    </w:p>
    <w:p>
      <w:pPr>
        <w:adjustRightInd/>
        <w:ind w:left="360" w:right="3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4.5.3 承包人为履行合同发出的一切函件均应盖有承包人授权的施工场地管理机构章，并由承包人项目经理或其授权代表签字。</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4.5.4 承包人项目经理可以授权其下属人员履行其某项职责，但事先应将这些人员的姓名和授权范围通知监理人。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4.6</w:t>
      </w:r>
      <w:r>
        <w:rPr>
          <w:rFonts w:ascii="宋体" w:hAnsi="宋体"/>
          <w:color w:val="auto"/>
          <w:kern w:val="2"/>
          <w:sz w:val="21"/>
          <w:szCs w:val="21"/>
          <w:highlight w:val="none"/>
        </w:rPr>
        <w:tab/>
      </w:r>
      <w:r>
        <w:rPr>
          <w:rFonts w:ascii="宋体" w:hAnsi="宋体" w:cs="宋体"/>
          <w:color w:val="auto"/>
          <w:kern w:val="2"/>
          <w:sz w:val="21"/>
          <w:szCs w:val="21"/>
          <w:highlight w:val="none"/>
        </w:rPr>
        <w:t>承包人人员的管理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4.6.1</w:t>
      </w:r>
      <w:r>
        <w:rPr>
          <w:rFonts w:ascii="宋体" w:hAnsi="宋体"/>
          <w:color w:val="auto"/>
          <w:kern w:val="2"/>
          <w:sz w:val="21"/>
          <w:szCs w:val="21"/>
          <w:highlight w:val="none"/>
        </w:rPr>
        <w:tab/>
      </w:r>
      <w:r>
        <w:rPr>
          <w:rFonts w:ascii="宋体" w:hAnsi="宋体" w:cs="宋体"/>
          <w:color w:val="auto"/>
          <w:kern w:val="2"/>
          <w:sz w:val="21"/>
          <w:szCs w:val="21"/>
          <w:highlight w:val="none"/>
        </w:rPr>
        <w:t>承包人应在接到开工通知后 28 天内，向监理人提交承包人在施工场地的管理机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构以及人员安排的报告，其内容应包括管理机构的设置、各主要岗位的技术和管理人员名单</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及其资格，以及各工种技术工人的安排状况。承包人应向监理人提交施工场地人员变动情况</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的报告。</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4.6.2</w:t>
      </w:r>
      <w:r>
        <w:rPr>
          <w:rFonts w:ascii="宋体" w:hAnsi="宋体"/>
          <w:color w:val="auto"/>
          <w:kern w:val="2"/>
          <w:sz w:val="21"/>
          <w:szCs w:val="21"/>
          <w:highlight w:val="none"/>
        </w:rPr>
        <w:tab/>
      </w:r>
      <w:r>
        <w:rPr>
          <w:rFonts w:ascii="宋体" w:hAnsi="宋体" w:cs="宋体"/>
          <w:color w:val="auto"/>
          <w:kern w:val="2"/>
          <w:sz w:val="21"/>
          <w:szCs w:val="21"/>
          <w:highlight w:val="none"/>
        </w:rPr>
        <w:t>为完成合同约定的各项工作，承包人应向施工场地派遣或雇佣足够数量的下列</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人员：</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（1）具有相应资格的专业技工和合格的普工；</w:t>
      </w:r>
    </w:p>
    <w:p>
      <w:pPr>
        <w:adjustRightInd/>
        <w:ind w:left="6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（2）具有相应施工经验的技术人员；</w:t>
      </w:r>
      <w:bookmarkStart w:id="705" w:name="page81"/>
      <w:bookmarkEnd w:id="705"/>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（3）具有相应岗位资格的各级管理人员。</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4.6.3</w:t>
      </w:r>
      <w:r>
        <w:rPr>
          <w:rFonts w:ascii="宋体" w:hAnsi="宋体"/>
          <w:color w:val="auto"/>
          <w:kern w:val="2"/>
          <w:sz w:val="21"/>
          <w:szCs w:val="21"/>
          <w:highlight w:val="none"/>
        </w:rPr>
        <w:tab/>
      </w:r>
      <w:r>
        <w:rPr>
          <w:rFonts w:ascii="宋体" w:hAnsi="宋体" w:cs="宋体"/>
          <w:color w:val="auto"/>
          <w:kern w:val="2"/>
          <w:sz w:val="21"/>
          <w:szCs w:val="21"/>
          <w:highlight w:val="none"/>
        </w:rPr>
        <w:t>承包人安排在施工场地的主要管理人员和技术骨干应相对稳定。承包人更换主</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要管理人员和技术骨干时，应取得监理人的同意。</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4.6.4</w:t>
      </w:r>
      <w:r>
        <w:rPr>
          <w:rFonts w:ascii="宋体" w:hAnsi="宋体"/>
          <w:color w:val="auto"/>
          <w:kern w:val="2"/>
          <w:sz w:val="21"/>
          <w:szCs w:val="21"/>
          <w:highlight w:val="none"/>
        </w:rPr>
        <w:tab/>
      </w:r>
      <w:r>
        <w:rPr>
          <w:rFonts w:ascii="宋体" w:hAnsi="宋体" w:cs="宋体"/>
          <w:color w:val="auto"/>
          <w:kern w:val="2"/>
          <w:sz w:val="21"/>
          <w:szCs w:val="21"/>
          <w:highlight w:val="none"/>
        </w:rPr>
        <w:t>特殊岗位的工作人员均应持有相应的资格证明，监理人有权随时检查。监理人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认为有必要时，可进行现场考核。</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4.7</w:t>
      </w:r>
      <w:r>
        <w:rPr>
          <w:rFonts w:ascii="宋体" w:hAnsi="宋体"/>
          <w:color w:val="auto"/>
          <w:kern w:val="2"/>
          <w:sz w:val="21"/>
          <w:szCs w:val="21"/>
          <w:highlight w:val="none"/>
        </w:rPr>
        <w:tab/>
      </w:r>
      <w:r>
        <w:rPr>
          <w:rFonts w:ascii="宋体" w:hAnsi="宋体" w:cs="宋体"/>
          <w:color w:val="auto"/>
          <w:kern w:val="2"/>
          <w:sz w:val="21"/>
          <w:szCs w:val="21"/>
          <w:highlight w:val="none"/>
        </w:rPr>
        <w:t>撤换承包人项目经理和其他人员</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承包人应对其项目经理和其他人员进行有效管理。监理人要求撤换不能胜任本职工作、</w:t>
      </w:r>
    </w:p>
    <w:p>
      <w:pPr>
        <w:adjustRightInd/>
        <w:ind w:firstLine="0" w:firstLineChars="0"/>
        <w:jc w:val="both"/>
        <w:textAlignment w:val="auto"/>
        <w:rPr>
          <w:rFonts w:ascii="宋体" w:hAnsi="宋体"/>
          <w:color w:val="auto"/>
          <w:kern w:val="2"/>
          <w:sz w:val="21"/>
          <w:szCs w:val="21"/>
          <w:highlight w:val="none"/>
        </w:rPr>
      </w:pP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行为不端或玩忽职守的承包人项目经理和其他人员的，承包人应予以撤换。</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4.8</w:t>
      </w:r>
      <w:r>
        <w:rPr>
          <w:rFonts w:ascii="宋体" w:hAnsi="宋体"/>
          <w:color w:val="auto"/>
          <w:kern w:val="2"/>
          <w:sz w:val="21"/>
          <w:szCs w:val="21"/>
          <w:highlight w:val="none"/>
        </w:rPr>
        <w:tab/>
      </w:r>
      <w:r>
        <w:rPr>
          <w:rFonts w:ascii="宋体" w:hAnsi="宋体" w:cs="宋体"/>
          <w:color w:val="auto"/>
          <w:kern w:val="2"/>
          <w:sz w:val="21"/>
          <w:szCs w:val="21"/>
          <w:highlight w:val="none"/>
        </w:rPr>
        <w:t>保障承包人人员的合法权益</w:t>
      </w:r>
    </w:p>
    <w:tbl>
      <w:tblPr>
        <w:tblStyle w:val="47"/>
        <w:tblW w:w="7900" w:type="dxa"/>
        <w:tblInd w:w="780" w:type="dxa"/>
        <w:tblLayout w:type="fixed"/>
        <w:tblCellMar>
          <w:top w:w="0" w:type="dxa"/>
          <w:left w:w="0" w:type="dxa"/>
          <w:bottom w:w="0" w:type="dxa"/>
          <w:right w:w="0" w:type="dxa"/>
        </w:tblCellMar>
      </w:tblPr>
      <w:tblGrid>
        <w:gridCol w:w="640"/>
        <w:gridCol w:w="7260"/>
      </w:tblGrid>
      <w:tr>
        <w:tblPrEx>
          <w:tblLayout w:type="fixed"/>
          <w:tblCellMar>
            <w:top w:w="0" w:type="dxa"/>
            <w:left w:w="0" w:type="dxa"/>
            <w:bottom w:w="0" w:type="dxa"/>
            <w:right w:w="0" w:type="dxa"/>
          </w:tblCellMar>
        </w:tblPrEx>
        <w:trPr>
          <w:trHeight w:val="240" w:hRule="atLeast"/>
        </w:trPr>
        <w:tc>
          <w:tcPr>
            <w:tcW w:w="640" w:type="dxa"/>
            <w:vAlign w:val="bottom"/>
          </w:tcPr>
          <w:p>
            <w:pPr>
              <w:adjustRightInd/>
              <w:ind w:right="14" w:firstLine="0" w:firstLineChars="0"/>
              <w:jc w:val="right"/>
              <w:textAlignment w:val="auto"/>
              <w:rPr>
                <w:rFonts w:ascii="宋体" w:hAnsi="宋体"/>
                <w:color w:val="auto"/>
                <w:kern w:val="2"/>
                <w:sz w:val="21"/>
                <w:szCs w:val="21"/>
                <w:highlight w:val="none"/>
              </w:rPr>
            </w:pPr>
            <w:r>
              <w:rPr>
                <w:rFonts w:ascii="宋体" w:hAnsi="宋体" w:cs="宋体"/>
                <w:color w:val="auto"/>
                <w:w w:val="95"/>
                <w:kern w:val="2"/>
                <w:sz w:val="21"/>
                <w:szCs w:val="21"/>
                <w:highlight w:val="none"/>
              </w:rPr>
              <w:t>4.8.1</w:t>
            </w:r>
          </w:p>
        </w:tc>
        <w:tc>
          <w:tcPr>
            <w:tcW w:w="726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承包人应与其雇佣的人员签订劳动合同，并按时发放工资。</w:t>
            </w:r>
          </w:p>
        </w:tc>
      </w:tr>
      <w:tr>
        <w:tblPrEx>
          <w:tblLayout w:type="fixed"/>
          <w:tblCellMar>
            <w:top w:w="0" w:type="dxa"/>
            <w:left w:w="0" w:type="dxa"/>
            <w:bottom w:w="0" w:type="dxa"/>
            <w:right w:w="0" w:type="dxa"/>
          </w:tblCellMar>
        </w:tblPrEx>
        <w:trPr>
          <w:trHeight w:val="468" w:hRule="atLeast"/>
        </w:trPr>
        <w:tc>
          <w:tcPr>
            <w:tcW w:w="640" w:type="dxa"/>
            <w:vAlign w:val="bottom"/>
          </w:tcPr>
          <w:p>
            <w:pPr>
              <w:adjustRightInd/>
              <w:ind w:right="14" w:firstLine="0" w:firstLineChars="0"/>
              <w:jc w:val="right"/>
              <w:textAlignment w:val="auto"/>
              <w:rPr>
                <w:rFonts w:ascii="宋体" w:hAnsi="宋体"/>
                <w:color w:val="auto"/>
                <w:kern w:val="2"/>
                <w:sz w:val="21"/>
                <w:szCs w:val="21"/>
                <w:highlight w:val="none"/>
              </w:rPr>
            </w:pPr>
            <w:r>
              <w:rPr>
                <w:rFonts w:ascii="宋体" w:hAnsi="宋体" w:cs="宋体"/>
                <w:color w:val="auto"/>
                <w:w w:val="95"/>
                <w:kern w:val="2"/>
                <w:sz w:val="21"/>
                <w:szCs w:val="21"/>
                <w:highlight w:val="none"/>
              </w:rPr>
              <w:t>4.8.2</w:t>
            </w:r>
          </w:p>
        </w:tc>
        <w:tc>
          <w:tcPr>
            <w:tcW w:w="726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承包人应按劳动法的规定安排工作时间，保证其雇佣人员享有休息和休假的权</w:t>
            </w:r>
          </w:p>
        </w:tc>
      </w:tr>
    </w:tbl>
    <w:p>
      <w:pPr>
        <w:adjustRightInd/>
        <w:ind w:left="360" w:right="34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利。因工程施工的特殊需要占用休假日或延长工作时间的，应不超过法律规定的限度，并按法律规定给予补休或付酬。</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4.8.3</w:t>
      </w:r>
      <w:r>
        <w:rPr>
          <w:rFonts w:ascii="宋体" w:hAnsi="宋体"/>
          <w:color w:val="auto"/>
          <w:kern w:val="2"/>
          <w:sz w:val="21"/>
          <w:szCs w:val="21"/>
          <w:highlight w:val="none"/>
        </w:rPr>
        <w:tab/>
      </w:r>
      <w:r>
        <w:rPr>
          <w:rFonts w:ascii="宋体" w:hAnsi="宋体" w:cs="宋体"/>
          <w:color w:val="auto"/>
          <w:kern w:val="2"/>
          <w:sz w:val="21"/>
          <w:szCs w:val="21"/>
          <w:highlight w:val="none"/>
        </w:rPr>
        <w:t>承包人应为其雇佣人员提供必要的食宿条件，以及符合环境保护和卫生要求的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生活环境，在远离城镇的施工场地，还应配备必要的伤病防治和急救的医务人员与医疗设施。</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tbl>
      <w:tblPr>
        <w:tblStyle w:val="47"/>
        <w:tblW w:w="6620" w:type="dxa"/>
        <w:tblInd w:w="780" w:type="dxa"/>
        <w:tblLayout w:type="fixed"/>
        <w:tblCellMar>
          <w:top w:w="0" w:type="dxa"/>
          <w:left w:w="0" w:type="dxa"/>
          <w:bottom w:w="0" w:type="dxa"/>
          <w:right w:w="0" w:type="dxa"/>
        </w:tblCellMar>
      </w:tblPr>
      <w:tblGrid>
        <w:gridCol w:w="640"/>
        <w:gridCol w:w="5980"/>
      </w:tblGrid>
      <w:tr>
        <w:tblPrEx>
          <w:tblLayout w:type="fixed"/>
          <w:tblCellMar>
            <w:top w:w="0" w:type="dxa"/>
            <w:left w:w="0" w:type="dxa"/>
            <w:bottom w:w="0" w:type="dxa"/>
            <w:right w:w="0" w:type="dxa"/>
          </w:tblCellMar>
        </w:tblPrEx>
        <w:trPr>
          <w:trHeight w:val="240" w:hRule="atLeast"/>
        </w:trPr>
        <w:tc>
          <w:tcPr>
            <w:tcW w:w="640" w:type="dxa"/>
            <w:vAlign w:val="bottom"/>
          </w:tcPr>
          <w:p>
            <w:pPr>
              <w:adjustRightInd/>
              <w:ind w:right="14" w:firstLine="0" w:firstLineChars="0"/>
              <w:jc w:val="right"/>
              <w:textAlignment w:val="auto"/>
              <w:rPr>
                <w:rFonts w:ascii="宋体" w:hAnsi="宋体"/>
                <w:color w:val="auto"/>
                <w:kern w:val="2"/>
                <w:sz w:val="21"/>
                <w:szCs w:val="21"/>
                <w:highlight w:val="none"/>
              </w:rPr>
            </w:pPr>
            <w:r>
              <w:rPr>
                <w:rFonts w:ascii="宋体" w:hAnsi="宋体" w:cs="宋体"/>
                <w:color w:val="auto"/>
                <w:w w:val="95"/>
                <w:kern w:val="2"/>
                <w:sz w:val="21"/>
                <w:szCs w:val="21"/>
                <w:highlight w:val="none"/>
              </w:rPr>
              <w:t>4.8.5</w:t>
            </w:r>
          </w:p>
        </w:tc>
        <w:tc>
          <w:tcPr>
            <w:tcW w:w="598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w w:val="99"/>
                <w:kern w:val="2"/>
                <w:sz w:val="21"/>
                <w:szCs w:val="21"/>
                <w:highlight w:val="none"/>
              </w:rPr>
              <w:t>承包人应按有关法律规定和合同约定，为其雇佣人员办理保险。</w:t>
            </w:r>
          </w:p>
        </w:tc>
      </w:tr>
      <w:tr>
        <w:tblPrEx>
          <w:tblLayout w:type="fixed"/>
          <w:tblCellMar>
            <w:top w:w="0" w:type="dxa"/>
            <w:left w:w="0" w:type="dxa"/>
            <w:bottom w:w="0" w:type="dxa"/>
            <w:right w:w="0" w:type="dxa"/>
          </w:tblCellMar>
        </w:tblPrEx>
        <w:trPr>
          <w:trHeight w:val="468" w:hRule="atLeast"/>
        </w:trPr>
        <w:tc>
          <w:tcPr>
            <w:tcW w:w="640" w:type="dxa"/>
            <w:vAlign w:val="bottom"/>
          </w:tcPr>
          <w:p>
            <w:pPr>
              <w:adjustRightInd/>
              <w:ind w:right="14" w:firstLine="0" w:firstLineChars="0"/>
              <w:jc w:val="right"/>
              <w:textAlignment w:val="auto"/>
              <w:rPr>
                <w:rFonts w:ascii="宋体" w:hAnsi="宋体"/>
                <w:color w:val="auto"/>
                <w:kern w:val="2"/>
                <w:sz w:val="21"/>
                <w:szCs w:val="21"/>
                <w:highlight w:val="none"/>
              </w:rPr>
            </w:pPr>
            <w:r>
              <w:rPr>
                <w:rFonts w:ascii="宋体" w:hAnsi="宋体" w:cs="宋体"/>
                <w:color w:val="auto"/>
                <w:w w:val="95"/>
                <w:kern w:val="2"/>
                <w:sz w:val="21"/>
                <w:szCs w:val="21"/>
                <w:highlight w:val="none"/>
              </w:rPr>
              <w:t>4.8.6</w:t>
            </w:r>
          </w:p>
        </w:tc>
        <w:tc>
          <w:tcPr>
            <w:tcW w:w="5980" w:type="dxa"/>
            <w:vAlign w:val="bottom"/>
          </w:tcPr>
          <w:p>
            <w:pPr>
              <w:adjustRightInd/>
              <w:ind w:left="10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承包人应负责处理其雇佣人员因工伤亡事故的善后事宜。</w:t>
            </w:r>
          </w:p>
        </w:tc>
      </w:tr>
    </w:tbl>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4.9</w:t>
      </w:r>
      <w:r>
        <w:rPr>
          <w:rFonts w:ascii="宋体" w:hAnsi="宋体"/>
          <w:color w:val="auto"/>
          <w:kern w:val="2"/>
          <w:sz w:val="21"/>
          <w:szCs w:val="21"/>
          <w:highlight w:val="none"/>
        </w:rPr>
        <w:tab/>
      </w:r>
      <w:r>
        <w:rPr>
          <w:rFonts w:ascii="宋体" w:hAnsi="宋体" w:cs="宋体"/>
          <w:color w:val="auto"/>
          <w:kern w:val="2"/>
          <w:sz w:val="21"/>
          <w:szCs w:val="21"/>
          <w:highlight w:val="none"/>
        </w:rPr>
        <w:t>工程价款应专款专用</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发包人按合同约定支付给承包人的各项价款应专用于合同工程。</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4.10</w:t>
      </w:r>
      <w:r>
        <w:rPr>
          <w:rFonts w:ascii="宋体" w:hAnsi="宋体"/>
          <w:color w:val="auto"/>
          <w:kern w:val="2"/>
          <w:sz w:val="21"/>
          <w:szCs w:val="21"/>
          <w:highlight w:val="none"/>
        </w:rPr>
        <w:tab/>
      </w:r>
      <w:r>
        <w:rPr>
          <w:rFonts w:ascii="宋体" w:hAnsi="宋体" w:cs="宋体"/>
          <w:color w:val="auto"/>
          <w:kern w:val="2"/>
          <w:sz w:val="21"/>
          <w:szCs w:val="21"/>
          <w:highlight w:val="none"/>
        </w:rPr>
        <w:t>承包人现场查勘</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4.10.1</w:t>
      </w:r>
      <w:r>
        <w:rPr>
          <w:rFonts w:ascii="宋体" w:hAnsi="宋体"/>
          <w:color w:val="auto"/>
          <w:kern w:val="2"/>
          <w:sz w:val="21"/>
          <w:szCs w:val="21"/>
          <w:highlight w:val="none"/>
        </w:rPr>
        <w:tab/>
      </w:r>
      <w:r>
        <w:rPr>
          <w:rFonts w:ascii="宋体" w:hAnsi="宋体" w:cs="宋体"/>
          <w:color w:val="auto"/>
          <w:kern w:val="2"/>
          <w:sz w:val="21"/>
          <w:szCs w:val="21"/>
          <w:highlight w:val="none"/>
        </w:rPr>
        <w:t>发包人应将其持有的现场地质勘探资料、水文气象资料提供给承包人，并对其</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准确性负责。但承包人应对其阅读上述有关资料后所作出的解释和推断负责。</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4.10.2</w:t>
      </w:r>
      <w:r>
        <w:rPr>
          <w:rFonts w:ascii="宋体" w:hAnsi="宋体"/>
          <w:color w:val="auto"/>
          <w:kern w:val="2"/>
          <w:sz w:val="21"/>
          <w:szCs w:val="21"/>
          <w:highlight w:val="none"/>
        </w:rPr>
        <w:tab/>
      </w:r>
      <w:r>
        <w:rPr>
          <w:rFonts w:ascii="宋体" w:hAnsi="宋体" w:cs="宋体"/>
          <w:color w:val="auto"/>
          <w:kern w:val="2"/>
          <w:sz w:val="21"/>
          <w:szCs w:val="21"/>
          <w:highlight w:val="none"/>
        </w:rPr>
        <w:t>承包人应对施工场地和周围环境进行查勘，并收集有关地质、水文、气象条件、</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交通条件、风俗习惯以及其他为完成合同工作有关的当地资料。在全部合同工作中，应视为</w:t>
      </w:r>
      <w:bookmarkStart w:id="706" w:name="page82"/>
      <w:bookmarkEnd w:id="706"/>
      <w:r>
        <w:rPr>
          <w:rFonts w:ascii="宋体" w:hAnsi="宋体" w:cs="宋体"/>
          <w:color w:val="auto"/>
          <w:kern w:val="2"/>
          <w:sz w:val="21"/>
          <w:szCs w:val="21"/>
          <w:highlight w:val="none"/>
        </w:rPr>
        <w:t>承包人已充分估计了应承担的责任和风险。</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w:t>
      </w:r>
      <w:r>
        <w:rPr>
          <w:rFonts w:ascii="宋体" w:hAnsi="宋体"/>
          <w:color w:val="auto"/>
          <w:kern w:val="2"/>
          <w:sz w:val="21"/>
          <w:szCs w:val="21"/>
          <w:highlight w:val="none"/>
        </w:rPr>
        <w:tab/>
      </w:r>
      <w:r>
        <w:rPr>
          <w:rFonts w:ascii="宋体" w:hAnsi="宋体" w:cs="宋体"/>
          <w:color w:val="auto"/>
          <w:kern w:val="2"/>
          <w:sz w:val="21"/>
          <w:szCs w:val="21"/>
          <w:highlight w:val="none"/>
        </w:rPr>
        <w:t>不利物质条件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4.11.1</w:t>
      </w:r>
      <w:r>
        <w:rPr>
          <w:rFonts w:ascii="宋体" w:hAnsi="宋体"/>
          <w:color w:val="auto"/>
          <w:kern w:val="2"/>
          <w:sz w:val="21"/>
          <w:szCs w:val="21"/>
          <w:highlight w:val="none"/>
        </w:rPr>
        <w:tab/>
      </w:r>
      <w:r>
        <w:rPr>
          <w:rFonts w:ascii="宋体" w:hAnsi="宋体" w:cs="宋体"/>
          <w:color w:val="auto"/>
          <w:kern w:val="2"/>
          <w:sz w:val="21"/>
          <w:szCs w:val="21"/>
          <w:highlight w:val="none"/>
        </w:rPr>
        <w:t>不利物质条件一般是指承包人在施工场地遇到的不可预见的自然物质条件、非</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自然的物质障碍和污染物，包括地下和水文条件，但不包括气候条件。不利物质条件的具体</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范围见合同条款专用部分。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4.11.2</w:t>
      </w:r>
      <w:r>
        <w:rPr>
          <w:rFonts w:ascii="宋体" w:hAnsi="宋体"/>
          <w:color w:val="auto"/>
          <w:kern w:val="2"/>
          <w:sz w:val="21"/>
          <w:szCs w:val="21"/>
          <w:highlight w:val="none"/>
        </w:rPr>
        <w:tab/>
      </w:r>
      <w:r>
        <w:rPr>
          <w:rFonts w:ascii="宋体" w:hAnsi="宋体" w:cs="宋体"/>
          <w:color w:val="auto"/>
          <w:kern w:val="2"/>
          <w:sz w:val="21"/>
          <w:szCs w:val="21"/>
          <w:highlight w:val="none"/>
        </w:rPr>
        <w:t>承包人遇到不利物质条件时，应采取适应不利物质条件的合理措施继续施工，</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并及时通知监理人。监理人应当及时发出指示，指示构成变更的，按第 15 条约定办理。监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理人没有发出指示的，承包人因采取合理措施增加的费用和（或）工期延误，由发包人承担。</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5.材料和工程设备</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5.1</w:t>
      </w:r>
      <w:r>
        <w:rPr>
          <w:rFonts w:ascii="宋体" w:hAnsi="宋体"/>
          <w:color w:val="auto"/>
          <w:kern w:val="2"/>
          <w:sz w:val="21"/>
          <w:szCs w:val="21"/>
          <w:highlight w:val="none"/>
        </w:rPr>
        <w:tab/>
      </w:r>
      <w:r>
        <w:rPr>
          <w:rFonts w:ascii="宋体" w:hAnsi="宋体" w:cs="宋体"/>
          <w:color w:val="auto"/>
          <w:kern w:val="2"/>
          <w:sz w:val="21"/>
          <w:szCs w:val="21"/>
          <w:highlight w:val="none"/>
        </w:rPr>
        <w:t>承包人提供的材料和工程设备</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5.1.1 除第 5.2 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 15.8.1 项的约定，由发包人和承包人以招标方式确定专项供应商。承包人负责提供的主要材料和工程设备清单见合同条款专用部分</w:t>
      </w:r>
      <w:r>
        <w:rPr>
          <w:rFonts w:ascii="宋体" w:hAnsi="宋体" w:cs="Arial"/>
          <w:color w:val="auto"/>
          <w:kern w:val="2"/>
          <w:sz w:val="21"/>
          <w:szCs w:val="21"/>
          <w:highlight w:val="none"/>
        </w:rPr>
        <w:t>“</w:t>
      </w:r>
      <w:r>
        <w:rPr>
          <w:rFonts w:ascii="宋体" w:hAnsi="宋体" w:cs="宋体"/>
          <w:color w:val="auto"/>
          <w:kern w:val="2"/>
          <w:sz w:val="21"/>
          <w:szCs w:val="21"/>
          <w:highlight w:val="none"/>
        </w:rPr>
        <w:t>附件三：承包人提供的材料和工程设备一览表</w:t>
      </w:r>
      <w:r>
        <w:rPr>
          <w:rFonts w:ascii="宋体" w:hAnsi="宋体" w:cs="Arial"/>
          <w:color w:val="auto"/>
          <w:kern w:val="2"/>
          <w:sz w:val="21"/>
          <w:szCs w:val="21"/>
          <w:highlight w:val="none"/>
        </w:rPr>
        <w:t>”</w:t>
      </w:r>
      <w:r>
        <w:rPr>
          <w:rFonts w:ascii="宋体" w:hAnsi="宋体" w:cs="宋体"/>
          <w:color w:val="auto"/>
          <w:kern w:val="2"/>
          <w:sz w:val="21"/>
          <w:szCs w:val="21"/>
          <w:highlight w:val="none"/>
        </w:rPr>
        <w:t>。</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w:t>
      </w:r>
      <w:r>
        <w:rPr>
          <w:rFonts w:ascii="宋体" w:hAnsi="宋体"/>
          <w:color w:val="auto"/>
          <w:kern w:val="2"/>
          <w:sz w:val="21"/>
          <w:szCs w:val="21"/>
          <w:highlight w:val="none"/>
        </w:rPr>
        <w:tab/>
      </w:r>
      <w:r>
        <w:rPr>
          <w:rFonts w:ascii="宋体" w:hAnsi="宋体" w:cs="宋体"/>
          <w:color w:val="auto"/>
          <w:kern w:val="2"/>
          <w:sz w:val="21"/>
          <w:szCs w:val="21"/>
          <w:highlight w:val="none"/>
        </w:rPr>
        <w:t>发包人提供的材料和工程设备</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5.2.1</w:t>
      </w:r>
      <w:r>
        <w:rPr>
          <w:rFonts w:ascii="宋体" w:hAnsi="宋体"/>
          <w:color w:val="auto"/>
          <w:kern w:val="2"/>
          <w:sz w:val="21"/>
          <w:szCs w:val="21"/>
          <w:highlight w:val="none"/>
        </w:rPr>
        <w:tab/>
      </w:r>
      <w:r>
        <w:rPr>
          <w:rFonts w:ascii="宋体" w:hAnsi="宋体" w:cs="宋体"/>
          <w:color w:val="auto"/>
          <w:kern w:val="2"/>
          <w:sz w:val="21"/>
          <w:szCs w:val="21"/>
          <w:highlight w:val="none"/>
        </w:rPr>
        <w:t>发包人负责提供的材料和工程设备的名称、规格、数量、价格、交货方式、交</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货地点和计划交货日期等见合同条款专用部分</w:t>
      </w:r>
      <w:r>
        <w:rPr>
          <w:rFonts w:ascii="宋体" w:hAnsi="宋体" w:cs="Arial"/>
          <w:color w:val="auto"/>
          <w:kern w:val="2"/>
          <w:sz w:val="21"/>
          <w:szCs w:val="21"/>
          <w:highlight w:val="none"/>
        </w:rPr>
        <w:t>“</w:t>
      </w:r>
      <w:r>
        <w:rPr>
          <w:rFonts w:ascii="宋体" w:hAnsi="宋体" w:cs="宋体"/>
          <w:color w:val="auto"/>
          <w:kern w:val="2"/>
          <w:sz w:val="21"/>
          <w:szCs w:val="21"/>
          <w:highlight w:val="none"/>
        </w:rPr>
        <w:t>附件四：发包人提供的材料和工程设备一览</w:t>
      </w:r>
      <w:bookmarkStart w:id="707" w:name="page83"/>
      <w:bookmarkEnd w:id="707"/>
      <w:r>
        <w:rPr>
          <w:rFonts w:ascii="宋体" w:hAnsi="宋体" w:cs="宋体"/>
          <w:color w:val="auto"/>
          <w:kern w:val="2"/>
          <w:sz w:val="21"/>
          <w:szCs w:val="21"/>
          <w:highlight w:val="none"/>
        </w:rPr>
        <w:t>表</w:t>
      </w:r>
      <w:r>
        <w:rPr>
          <w:rFonts w:ascii="宋体" w:hAnsi="宋体" w:cs="Arial"/>
          <w:color w:val="auto"/>
          <w:kern w:val="2"/>
          <w:sz w:val="21"/>
          <w:szCs w:val="21"/>
          <w:highlight w:val="none"/>
        </w:rPr>
        <w:t>”</w:t>
      </w:r>
      <w:r>
        <w:rPr>
          <w:rFonts w:ascii="宋体" w:hAnsi="宋体" w:cs="宋体"/>
          <w:color w:val="auto"/>
          <w:kern w:val="2"/>
          <w:sz w:val="21"/>
          <w:szCs w:val="21"/>
          <w:highlight w:val="none"/>
        </w:rPr>
        <w:t>。</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5.2.2</w:t>
      </w:r>
      <w:r>
        <w:rPr>
          <w:rFonts w:ascii="宋体" w:hAnsi="宋体"/>
          <w:color w:val="auto"/>
          <w:kern w:val="2"/>
          <w:sz w:val="21"/>
          <w:szCs w:val="21"/>
          <w:highlight w:val="none"/>
        </w:rPr>
        <w:tab/>
      </w:r>
      <w:r>
        <w:rPr>
          <w:rFonts w:ascii="宋体" w:hAnsi="宋体" w:cs="宋体"/>
          <w:color w:val="auto"/>
          <w:kern w:val="2"/>
          <w:sz w:val="21"/>
          <w:szCs w:val="21"/>
          <w:highlight w:val="none"/>
        </w:rPr>
        <w:t>承包人应根据合同进度计划的安排，向监理人报送要求发包人交货的日期计划。</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发包人应按照监理人与合同双方当事人商定的交货日期，向承包人提交材料和工程设备。</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5.2.3 发包人应在材料和工程设备到货 7 天前通知承包人，承包人应会同监理人在约定的时间内，赴交货地点共同进行验收。由发包人提供的材料和工程设备验收后，由承包人负责接收、运输和保管。</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5.2.4 发包人要求向承包人提前交货的，承包人不得拒绝，但发包人应承担承包人由此增加的费用。</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5.2.5 承包人要求更改交货日期或地点的，应事先报请监理人批准。由于承包人要求更改交货时间或地点所增加的费用和（或）工期延误由承包人承担。</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5.3</w:t>
      </w:r>
      <w:r>
        <w:rPr>
          <w:rFonts w:ascii="宋体" w:hAnsi="宋体"/>
          <w:color w:val="auto"/>
          <w:kern w:val="2"/>
          <w:sz w:val="21"/>
          <w:szCs w:val="21"/>
          <w:highlight w:val="none"/>
        </w:rPr>
        <w:tab/>
      </w:r>
      <w:r>
        <w:rPr>
          <w:rFonts w:ascii="宋体" w:hAnsi="宋体" w:cs="宋体"/>
          <w:color w:val="auto"/>
          <w:kern w:val="2"/>
          <w:sz w:val="21"/>
          <w:szCs w:val="21"/>
          <w:highlight w:val="none"/>
        </w:rPr>
        <w:t>材料和工程设备专用于合同工程</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5.3.1</w:t>
      </w:r>
      <w:r>
        <w:rPr>
          <w:rFonts w:ascii="宋体" w:hAnsi="宋体"/>
          <w:color w:val="auto"/>
          <w:kern w:val="2"/>
          <w:sz w:val="21"/>
          <w:szCs w:val="21"/>
          <w:highlight w:val="none"/>
        </w:rPr>
        <w:tab/>
      </w:r>
      <w:r>
        <w:rPr>
          <w:rFonts w:ascii="宋体" w:hAnsi="宋体" w:cs="宋体"/>
          <w:color w:val="auto"/>
          <w:kern w:val="2"/>
          <w:sz w:val="21"/>
          <w:szCs w:val="21"/>
          <w:highlight w:val="none"/>
        </w:rPr>
        <w:t>运入施工场地的材料、工程设备，包括备品备件、安装专用工器具与随机资料，</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必须专用于合同工程，未经监理人同意，承包人不得运出施工场地或挪作他用。</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5.3.2</w:t>
      </w:r>
      <w:r>
        <w:rPr>
          <w:rFonts w:ascii="宋体" w:hAnsi="宋体"/>
          <w:color w:val="auto"/>
          <w:kern w:val="2"/>
          <w:sz w:val="21"/>
          <w:szCs w:val="21"/>
          <w:highlight w:val="none"/>
        </w:rPr>
        <w:tab/>
      </w:r>
      <w:r>
        <w:rPr>
          <w:rFonts w:ascii="宋体" w:hAnsi="宋体" w:cs="宋体"/>
          <w:color w:val="auto"/>
          <w:kern w:val="2"/>
          <w:sz w:val="21"/>
          <w:szCs w:val="21"/>
          <w:highlight w:val="none"/>
        </w:rPr>
        <w:t>随同工程设备运入施工场地的备品备件、专用工器具与随机资料，应由承包人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会同监理人按供货人的装箱单清点后共同封存，未经监理人同意不得启用。承包人因合同工</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作需要使用上述物品时，应向监理人提出申请。</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5.4</w:t>
      </w:r>
      <w:r>
        <w:rPr>
          <w:rFonts w:ascii="宋体" w:hAnsi="宋体"/>
          <w:color w:val="auto"/>
          <w:kern w:val="2"/>
          <w:sz w:val="21"/>
          <w:szCs w:val="21"/>
          <w:highlight w:val="none"/>
        </w:rPr>
        <w:tab/>
      </w:r>
      <w:r>
        <w:rPr>
          <w:rFonts w:ascii="宋体" w:hAnsi="宋体" w:cs="宋体"/>
          <w:color w:val="auto"/>
          <w:kern w:val="2"/>
          <w:sz w:val="21"/>
          <w:szCs w:val="21"/>
          <w:highlight w:val="none"/>
        </w:rPr>
        <w:t>禁止使用不合格的材料和工程设备</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5.4.1</w:t>
      </w:r>
      <w:r>
        <w:rPr>
          <w:rFonts w:ascii="宋体" w:hAnsi="宋体"/>
          <w:color w:val="auto"/>
          <w:kern w:val="2"/>
          <w:sz w:val="21"/>
          <w:szCs w:val="21"/>
          <w:highlight w:val="none"/>
        </w:rPr>
        <w:tab/>
      </w:r>
      <w:r>
        <w:rPr>
          <w:rFonts w:ascii="宋体" w:hAnsi="宋体" w:cs="宋体"/>
          <w:color w:val="auto"/>
          <w:kern w:val="2"/>
          <w:sz w:val="21"/>
          <w:szCs w:val="21"/>
          <w:highlight w:val="none"/>
        </w:rPr>
        <w:t>监理人有权拒绝承包人提供的不合格材料或工程设备，并要求承包人立即进行</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更换。监理人应在更换后再次进行检查和检验，由此增加的费用和（或）工期延误由承包人</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承担。</w:t>
      </w:r>
    </w:p>
    <w:p>
      <w:pPr>
        <w:adjustRightInd/>
        <w:ind w:left="410" w:leftChars="171" w:firstLine="315" w:firstLineChars="15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5.4.2</w:t>
      </w:r>
      <w:r>
        <w:rPr>
          <w:rFonts w:ascii="宋体" w:hAnsi="宋体"/>
          <w:color w:val="auto"/>
          <w:kern w:val="2"/>
          <w:sz w:val="21"/>
          <w:szCs w:val="21"/>
          <w:highlight w:val="none"/>
        </w:rPr>
        <w:tab/>
      </w:r>
      <w:r>
        <w:rPr>
          <w:rFonts w:ascii="宋体" w:hAnsi="宋体" w:cs="宋体"/>
          <w:color w:val="auto"/>
          <w:kern w:val="2"/>
          <w:sz w:val="21"/>
          <w:szCs w:val="21"/>
          <w:highlight w:val="none"/>
        </w:rPr>
        <w:t>监理人发现承包人使用了不合格的材料和工程设备，应即时发出指示要求承包</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人立即改正，并禁止在工程中继续使用不合格的材料和工程设备。</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5.4.3</w:t>
      </w:r>
      <w:r>
        <w:rPr>
          <w:rFonts w:ascii="宋体" w:hAnsi="宋体"/>
          <w:color w:val="auto"/>
          <w:kern w:val="2"/>
          <w:sz w:val="21"/>
          <w:szCs w:val="21"/>
          <w:highlight w:val="none"/>
        </w:rPr>
        <w:tab/>
      </w:r>
      <w:r>
        <w:rPr>
          <w:rFonts w:ascii="宋体" w:hAnsi="宋体" w:cs="宋体"/>
          <w:color w:val="auto"/>
          <w:kern w:val="2"/>
          <w:sz w:val="21"/>
          <w:szCs w:val="21"/>
          <w:highlight w:val="none"/>
        </w:rPr>
        <w:t>发包人提供的材料或工程设备不符合合同要求的，承包人有权拒绝，并可要求</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发包人更换，由此增加的费用和（或）工期延误由发包人承担。</w:t>
      </w:r>
      <w:bookmarkStart w:id="708" w:name="page84"/>
      <w:bookmarkEnd w:id="708"/>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6.施工设备和临时设施</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6.1</w:t>
      </w:r>
      <w:r>
        <w:rPr>
          <w:rFonts w:ascii="宋体" w:hAnsi="宋体"/>
          <w:color w:val="auto"/>
          <w:kern w:val="2"/>
          <w:sz w:val="21"/>
          <w:szCs w:val="21"/>
          <w:highlight w:val="none"/>
        </w:rPr>
        <w:tab/>
      </w:r>
      <w:r>
        <w:rPr>
          <w:rFonts w:ascii="宋体" w:hAnsi="宋体" w:cs="宋体"/>
          <w:color w:val="auto"/>
          <w:kern w:val="2"/>
          <w:sz w:val="21"/>
          <w:szCs w:val="21"/>
          <w:highlight w:val="none"/>
        </w:rPr>
        <w:t>承包人提供的施工设备和临时设施</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6.1.1</w:t>
      </w:r>
      <w:r>
        <w:rPr>
          <w:rFonts w:ascii="宋体" w:hAnsi="宋体"/>
          <w:color w:val="auto"/>
          <w:kern w:val="2"/>
          <w:sz w:val="21"/>
          <w:szCs w:val="21"/>
          <w:highlight w:val="none"/>
        </w:rPr>
        <w:tab/>
      </w:r>
      <w:r>
        <w:rPr>
          <w:rFonts w:ascii="宋体" w:hAnsi="宋体" w:cs="宋体"/>
          <w:color w:val="auto"/>
          <w:kern w:val="2"/>
          <w:sz w:val="21"/>
          <w:szCs w:val="21"/>
          <w:highlight w:val="none"/>
        </w:rPr>
        <w:t>承包人应按合同进度计划的要求，及时配置施工设备和修建临时设施。进入施</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工场地的承包人设备需经监理人核查后才能投入使用。承包人更换合同约定的承包人设备</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的，应报监理人批准。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6.1.2</w:t>
      </w:r>
      <w:r>
        <w:rPr>
          <w:rFonts w:ascii="宋体" w:hAnsi="宋体"/>
          <w:color w:val="auto"/>
          <w:kern w:val="2"/>
          <w:sz w:val="21"/>
          <w:szCs w:val="21"/>
          <w:highlight w:val="none"/>
        </w:rPr>
        <w:tab/>
      </w:r>
      <w:r>
        <w:rPr>
          <w:rFonts w:ascii="宋体" w:hAnsi="宋体" w:cs="宋体"/>
          <w:color w:val="auto"/>
          <w:kern w:val="2"/>
          <w:sz w:val="21"/>
          <w:szCs w:val="21"/>
          <w:highlight w:val="none"/>
        </w:rPr>
        <w:t>除合同另有约定外，承包人应承担自行修建临时设施的费用。需要临时占地的，</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应由发包人办理申请手续并承担相应费用。承包人自行修建临时设施的范围以及所需临时占</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地见合同条款专用部分。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6.2</w:t>
      </w:r>
      <w:r>
        <w:rPr>
          <w:rFonts w:ascii="宋体" w:hAnsi="宋体"/>
          <w:color w:val="auto"/>
          <w:kern w:val="2"/>
          <w:sz w:val="21"/>
          <w:szCs w:val="21"/>
          <w:highlight w:val="none"/>
        </w:rPr>
        <w:tab/>
      </w:r>
      <w:r>
        <w:rPr>
          <w:rFonts w:ascii="宋体" w:hAnsi="宋体" w:cs="宋体"/>
          <w:color w:val="auto"/>
          <w:kern w:val="2"/>
          <w:sz w:val="21"/>
          <w:szCs w:val="21"/>
          <w:highlight w:val="none"/>
        </w:rPr>
        <w:t>发包人提供的施工设备和临时设施</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发包人提供的施工设备或临时设施，以及相关运行、维护、拆除、清运费用的承担人见</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6.3</w:t>
      </w:r>
      <w:r>
        <w:rPr>
          <w:rFonts w:ascii="宋体" w:hAnsi="宋体"/>
          <w:color w:val="auto"/>
          <w:kern w:val="2"/>
          <w:sz w:val="21"/>
          <w:szCs w:val="21"/>
          <w:highlight w:val="none"/>
        </w:rPr>
        <w:tab/>
      </w:r>
      <w:r>
        <w:rPr>
          <w:rFonts w:ascii="宋体" w:hAnsi="宋体" w:cs="宋体"/>
          <w:color w:val="auto"/>
          <w:kern w:val="2"/>
          <w:sz w:val="21"/>
          <w:szCs w:val="21"/>
          <w:highlight w:val="none"/>
        </w:rPr>
        <w:t>要求承包人增加或更换施工设备</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承包人使用的施工设备不能满足合同进度计划和（或）质量要求时，监理人有权要求承</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包人增加或更换施工设备，承包人应及时增加或更换，由此增加的费用和（或）工期延误由</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承包人承担。</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6.4</w:t>
      </w:r>
      <w:r>
        <w:rPr>
          <w:rFonts w:ascii="宋体" w:hAnsi="宋体"/>
          <w:color w:val="auto"/>
          <w:kern w:val="2"/>
          <w:sz w:val="21"/>
          <w:szCs w:val="21"/>
          <w:highlight w:val="none"/>
        </w:rPr>
        <w:tab/>
      </w:r>
      <w:r>
        <w:rPr>
          <w:rFonts w:ascii="宋体" w:hAnsi="宋体" w:cs="宋体"/>
          <w:color w:val="auto"/>
          <w:kern w:val="2"/>
          <w:sz w:val="21"/>
          <w:szCs w:val="21"/>
          <w:highlight w:val="none"/>
        </w:rPr>
        <w:t>施工设备和临时设施专用于合同工程</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6.4.1</w:t>
      </w:r>
      <w:r>
        <w:rPr>
          <w:rFonts w:ascii="宋体" w:hAnsi="宋体"/>
          <w:color w:val="auto"/>
          <w:kern w:val="2"/>
          <w:sz w:val="21"/>
          <w:szCs w:val="21"/>
          <w:highlight w:val="none"/>
        </w:rPr>
        <w:tab/>
      </w:r>
      <w:r>
        <w:rPr>
          <w:rFonts w:ascii="宋体" w:hAnsi="宋体" w:cs="宋体"/>
          <w:color w:val="auto"/>
          <w:kern w:val="2"/>
          <w:sz w:val="21"/>
          <w:szCs w:val="21"/>
          <w:highlight w:val="none"/>
        </w:rPr>
        <w:t>除为第 4.1.8 项约定的其他独立承包人和监理人指示的他人提供条件外,承包</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人运入施工场地的所有施工设备以及在施工场地建设的临时设施仅限于用于合同工程。未经</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监理人同意，不得将上述施工设备和临时设施中的任何部分运出施工场地或挪作他用。</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6.4.2</w:t>
      </w:r>
      <w:r>
        <w:rPr>
          <w:rFonts w:ascii="宋体" w:hAnsi="宋体"/>
          <w:color w:val="auto"/>
          <w:kern w:val="2"/>
          <w:sz w:val="21"/>
          <w:szCs w:val="21"/>
          <w:highlight w:val="none"/>
        </w:rPr>
        <w:tab/>
      </w:r>
      <w:r>
        <w:rPr>
          <w:rFonts w:ascii="宋体" w:hAnsi="宋体" w:cs="宋体"/>
          <w:color w:val="auto"/>
          <w:kern w:val="2"/>
          <w:sz w:val="21"/>
          <w:szCs w:val="21"/>
          <w:highlight w:val="none"/>
        </w:rPr>
        <w:t>经监理人同意，承包人可根据合同进度计划撤走闲置的施工设备。</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7.交通运输</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7.1</w:t>
      </w:r>
      <w:r>
        <w:rPr>
          <w:rFonts w:ascii="宋体" w:hAnsi="宋体"/>
          <w:color w:val="auto"/>
          <w:kern w:val="2"/>
          <w:sz w:val="21"/>
          <w:szCs w:val="21"/>
          <w:highlight w:val="none"/>
        </w:rPr>
        <w:tab/>
      </w:r>
      <w:r>
        <w:rPr>
          <w:rFonts w:ascii="宋体" w:hAnsi="宋体" w:cs="宋体"/>
          <w:color w:val="auto"/>
          <w:kern w:val="2"/>
          <w:sz w:val="21"/>
          <w:szCs w:val="21"/>
          <w:highlight w:val="none"/>
        </w:rPr>
        <w:t>道路通行权和场外设施</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除合同条款专用部分另有约定外，发包人应根据合同工程的施工需要，负责办理取得出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入施工场地的专用和临时道路的通行权，以及取得为工程建设所需修建场外设施的权利，并</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承担有关费用。承包人应协助发包人办理上述手续。</w:t>
      </w:r>
      <w:bookmarkStart w:id="709" w:name="page85"/>
      <w:bookmarkEnd w:id="709"/>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7.2</w:t>
      </w:r>
      <w:r>
        <w:rPr>
          <w:rFonts w:ascii="宋体" w:hAnsi="宋体"/>
          <w:color w:val="auto"/>
          <w:kern w:val="2"/>
          <w:sz w:val="21"/>
          <w:szCs w:val="21"/>
          <w:highlight w:val="none"/>
        </w:rPr>
        <w:tab/>
      </w:r>
      <w:r>
        <w:rPr>
          <w:rFonts w:ascii="宋体" w:hAnsi="宋体" w:cs="宋体"/>
          <w:color w:val="auto"/>
          <w:kern w:val="2"/>
          <w:sz w:val="21"/>
          <w:szCs w:val="21"/>
          <w:highlight w:val="none"/>
        </w:rPr>
        <w:t>场内施工道路</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7.2.1</w:t>
      </w:r>
      <w:r>
        <w:rPr>
          <w:rFonts w:ascii="宋体" w:hAnsi="宋体"/>
          <w:color w:val="auto"/>
          <w:kern w:val="2"/>
          <w:sz w:val="21"/>
          <w:szCs w:val="21"/>
          <w:highlight w:val="none"/>
        </w:rPr>
        <w:tab/>
      </w:r>
      <w:r>
        <w:rPr>
          <w:rFonts w:ascii="宋体" w:hAnsi="宋体" w:cs="宋体"/>
          <w:color w:val="auto"/>
          <w:kern w:val="2"/>
          <w:sz w:val="21"/>
          <w:szCs w:val="21"/>
          <w:highlight w:val="none"/>
        </w:rPr>
        <w:t>除合同条款专用部分另有约定外，承包人应负责修建、维修、养护和管理施工</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所需的临时道路和交通设施，包括维修、养护和管理发包人提供的道路和交通设施，并承担</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相应费用。</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7.2.2</w:t>
      </w:r>
      <w:r>
        <w:rPr>
          <w:rFonts w:ascii="宋体" w:hAnsi="宋体"/>
          <w:color w:val="auto"/>
          <w:kern w:val="2"/>
          <w:sz w:val="21"/>
          <w:szCs w:val="21"/>
          <w:highlight w:val="none"/>
        </w:rPr>
        <w:tab/>
      </w:r>
      <w:r>
        <w:rPr>
          <w:rFonts w:ascii="宋体" w:hAnsi="宋体" w:cs="宋体"/>
          <w:color w:val="auto"/>
          <w:kern w:val="2"/>
          <w:sz w:val="21"/>
          <w:szCs w:val="21"/>
          <w:highlight w:val="none"/>
        </w:rPr>
        <w:t>发包人和监理人有权无偿使用承包人修建的临时道路和交通设施，不需要交纳</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任何费用。</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7.3</w:t>
      </w:r>
      <w:r>
        <w:rPr>
          <w:rFonts w:ascii="宋体" w:hAnsi="宋体"/>
          <w:color w:val="auto"/>
          <w:kern w:val="2"/>
          <w:sz w:val="21"/>
          <w:szCs w:val="21"/>
          <w:highlight w:val="none"/>
        </w:rPr>
        <w:tab/>
      </w:r>
      <w:r>
        <w:rPr>
          <w:rFonts w:ascii="宋体" w:hAnsi="宋体" w:cs="宋体"/>
          <w:color w:val="auto"/>
          <w:kern w:val="2"/>
          <w:sz w:val="21"/>
          <w:szCs w:val="21"/>
          <w:highlight w:val="none"/>
        </w:rPr>
        <w:t>场外交通</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7.3.1</w:t>
      </w:r>
      <w:r>
        <w:rPr>
          <w:rFonts w:ascii="宋体" w:hAnsi="宋体"/>
          <w:color w:val="auto"/>
          <w:kern w:val="2"/>
          <w:sz w:val="21"/>
          <w:szCs w:val="21"/>
          <w:highlight w:val="none"/>
        </w:rPr>
        <w:tab/>
      </w:r>
      <w:r>
        <w:rPr>
          <w:rFonts w:ascii="宋体" w:hAnsi="宋体" w:cs="宋体"/>
          <w:color w:val="auto"/>
          <w:kern w:val="2"/>
          <w:sz w:val="21"/>
          <w:szCs w:val="21"/>
          <w:highlight w:val="none"/>
        </w:rPr>
        <w:t>承包人车辆外出行驶所需的场外公共道路的通行费、养路费和税款等由承包人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承担。</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7.3.2</w:t>
      </w:r>
      <w:r>
        <w:rPr>
          <w:rFonts w:ascii="宋体" w:hAnsi="宋体"/>
          <w:color w:val="auto"/>
          <w:kern w:val="2"/>
          <w:sz w:val="21"/>
          <w:szCs w:val="21"/>
          <w:highlight w:val="none"/>
        </w:rPr>
        <w:tab/>
      </w:r>
      <w:r>
        <w:rPr>
          <w:rFonts w:ascii="宋体" w:hAnsi="宋体" w:cs="宋体"/>
          <w:color w:val="auto"/>
          <w:kern w:val="2"/>
          <w:sz w:val="21"/>
          <w:szCs w:val="21"/>
          <w:highlight w:val="none"/>
        </w:rPr>
        <w:t>承包人应遵守有关交通法规，严格按照道路和桥梁的限制荷重安全行驶，并服</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从交通管理部门的检查和监督。</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7.4</w:t>
      </w:r>
      <w:r>
        <w:rPr>
          <w:rFonts w:ascii="宋体" w:hAnsi="宋体"/>
          <w:color w:val="auto"/>
          <w:kern w:val="2"/>
          <w:sz w:val="21"/>
          <w:szCs w:val="21"/>
          <w:highlight w:val="none"/>
        </w:rPr>
        <w:tab/>
      </w:r>
      <w:r>
        <w:rPr>
          <w:rFonts w:ascii="宋体" w:hAnsi="宋体" w:cs="宋体"/>
          <w:color w:val="auto"/>
          <w:kern w:val="2"/>
          <w:sz w:val="21"/>
          <w:szCs w:val="21"/>
          <w:highlight w:val="none"/>
        </w:rPr>
        <w:t>超大件和超重件的运输</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由承包人负责运输的超大件或超重件，应由承包人负责向交通管理部门办理申请手续，</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发包人给予协助。运输超大件或超重件所需的道路和桥梁临时加固改造费用和其他有关费</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用，由承包人承担，但合同条款专用部分另有约定除外。</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7.5</w:t>
      </w:r>
      <w:r>
        <w:rPr>
          <w:rFonts w:ascii="宋体" w:hAnsi="宋体"/>
          <w:color w:val="auto"/>
          <w:kern w:val="2"/>
          <w:sz w:val="21"/>
          <w:szCs w:val="21"/>
          <w:highlight w:val="none"/>
        </w:rPr>
        <w:tab/>
      </w:r>
      <w:r>
        <w:rPr>
          <w:rFonts w:ascii="宋体" w:hAnsi="宋体" w:cs="宋体"/>
          <w:color w:val="auto"/>
          <w:kern w:val="2"/>
          <w:sz w:val="21"/>
          <w:szCs w:val="21"/>
          <w:highlight w:val="none"/>
        </w:rPr>
        <w:t>道路和桥梁的损坏责任</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因承包人运输造成施工场地内外公共道路和桥梁损坏的，由承包人承担修复损坏的全部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费用和可能引起的赔偿。</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7.6</w:t>
      </w:r>
      <w:r>
        <w:rPr>
          <w:rFonts w:ascii="宋体" w:hAnsi="宋体"/>
          <w:color w:val="auto"/>
          <w:kern w:val="2"/>
          <w:sz w:val="21"/>
          <w:szCs w:val="21"/>
          <w:highlight w:val="none"/>
        </w:rPr>
        <w:tab/>
      </w:r>
      <w:r>
        <w:rPr>
          <w:rFonts w:ascii="宋体" w:hAnsi="宋体" w:cs="宋体"/>
          <w:color w:val="auto"/>
          <w:kern w:val="2"/>
          <w:sz w:val="21"/>
          <w:szCs w:val="21"/>
          <w:highlight w:val="none"/>
        </w:rPr>
        <w:t>水路和航空运输</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本条上述各款的内容适用于水路运输和航空运输，其中</w:t>
      </w:r>
      <w:r>
        <w:rPr>
          <w:rFonts w:ascii="宋体" w:hAnsi="宋体" w:cs="Arial"/>
          <w:color w:val="auto"/>
          <w:kern w:val="2"/>
          <w:sz w:val="21"/>
          <w:szCs w:val="21"/>
          <w:highlight w:val="none"/>
        </w:rPr>
        <w:t>“</w:t>
      </w:r>
      <w:r>
        <w:rPr>
          <w:rFonts w:ascii="宋体" w:hAnsi="宋体" w:cs="宋体"/>
          <w:color w:val="auto"/>
          <w:kern w:val="2"/>
          <w:sz w:val="21"/>
          <w:szCs w:val="21"/>
          <w:highlight w:val="none"/>
        </w:rPr>
        <w:t>道路</w:t>
      </w:r>
      <w:r>
        <w:rPr>
          <w:rFonts w:ascii="宋体" w:hAnsi="宋体" w:cs="Arial"/>
          <w:color w:val="auto"/>
          <w:kern w:val="2"/>
          <w:sz w:val="21"/>
          <w:szCs w:val="21"/>
          <w:highlight w:val="none"/>
        </w:rPr>
        <w:t>”</w:t>
      </w:r>
      <w:r>
        <w:rPr>
          <w:rFonts w:ascii="宋体" w:hAnsi="宋体" w:cs="宋体"/>
          <w:color w:val="auto"/>
          <w:kern w:val="2"/>
          <w:sz w:val="21"/>
          <w:szCs w:val="21"/>
          <w:highlight w:val="none"/>
        </w:rPr>
        <w:t>一词的涵义包括河道、</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航线、船闸、机场、码头、堤防以及水路或航空运输中其他相似结构物；</w:t>
      </w:r>
      <w:r>
        <w:rPr>
          <w:rFonts w:ascii="宋体" w:hAnsi="宋体" w:cs="Arial"/>
          <w:color w:val="auto"/>
          <w:kern w:val="2"/>
          <w:sz w:val="21"/>
          <w:szCs w:val="21"/>
          <w:highlight w:val="none"/>
        </w:rPr>
        <w:t>“</w:t>
      </w:r>
      <w:r>
        <w:rPr>
          <w:rFonts w:ascii="宋体" w:hAnsi="宋体" w:cs="宋体"/>
          <w:color w:val="auto"/>
          <w:kern w:val="2"/>
          <w:sz w:val="21"/>
          <w:szCs w:val="21"/>
          <w:highlight w:val="none"/>
        </w:rPr>
        <w:t>车辆</w:t>
      </w:r>
      <w:r>
        <w:rPr>
          <w:rFonts w:ascii="宋体" w:hAnsi="宋体" w:cs="Arial"/>
          <w:color w:val="auto"/>
          <w:kern w:val="2"/>
          <w:sz w:val="21"/>
          <w:szCs w:val="21"/>
          <w:highlight w:val="none"/>
        </w:rPr>
        <w:t>”</w:t>
      </w:r>
      <w:r>
        <w:rPr>
          <w:rFonts w:ascii="宋体" w:hAnsi="宋体" w:cs="宋体"/>
          <w:color w:val="auto"/>
          <w:kern w:val="2"/>
          <w:sz w:val="21"/>
          <w:szCs w:val="21"/>
          <w:highlight w:val="none"/>
        </w:rPr>
        <w:t>一词的涵</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义包括船舶和飞机等。</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8.测量放线</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8.1</w:t>
      </w:r>
      <w:r>
        <w:rPr>
          <w:rFonts w:ascii="宋体" w:hAnsi="宋体"/>
          <w:color w:val="auto"/>
          <w:kern w:val="2"/>
          <w:sz w:val="21"/>
          <w:szCs w:val="21"/>
          <w:highlight w:val="none"/>
        </w:rPr>
        <w:tab/>
      </w:r>
      <w:r>
        <w:rPr>
          <w:rFonts w:ascii="宋体" w:hAnsi="宋体" w:cs="宋体"/>
          <w:color w:val="auto"/>
          <w:kern w:val="2"/>
          <w:sz w:val="21"/>
          <w:szCs w:val="21"/>
          <w:highlight w:val="none"/>
        </w:rPr>
        <w:t>施工控制网</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8.1.1</w:t>
      </w:r>
      <w:r>
        <w:rPr>
          <w:rFonts w:ascii="宋体" w:hAnsi="宋体"/>
          <w:color w:val="auto"/>
          <w:kern w:val="2"/>
          <w:sz w:val="21"/>
          <w:szCs w:val="21"/>
          <w:highlight w:val="none"/>
        </w:rPr>
        <w:tab/>
      </w:r>
      <w:r>
        <w:rPr>
          <w:rFonts w:ascii="宋体" w:hAnsi="宋体" w:cs="宋体"/>
          <w:color w:val="auto"/>
          <w:kern w:val="2"/>
          <w:sz w:val="21"/>
          <w:szCs w:val="21"/>
          <w:highlight w:val="none"/>
        </w:rPr>
        <w:t>发包人应在合同约定的期限内，通过监理人向承包人提供测量基准点、基准线</w:t>
      </w:r>
      <w:bookmarkStart w:id="710" w:name="page86"/>
      <w:bookmarkEnd w:id="710"/>
      <w:r>
        <w:rPr>
          <w:rFonts w:ascii="宋体" w:hAnsi="宋体" w:cs="宋体"/>
          <w:color w:val="auto"/>
          <w:kern w:val="2"/>
          <w:sz w:val="21"/>
          <w:szCs w:val="21"/>
          <w:highlight w:val="none"/>
        </w:rPr>
        <w:t>和水准点及其书面资料。向承包人提供测量基准点、基准线和水准点及其书面资料的期限见</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合同条款专用部分。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8.1.2</w:t>
      </w:r>
      <w:r>
        <w:rPr>
          <w:rFonts w:ascii="宋体" w:hAnsi="宋体"/>
          <w:color w:val="auto"/>
          <w:kern w:val="2"/>
          <w:sz w:val="21"/>
          <w:szCs w:val="21"/>
          <w:highlight w:val="none"/>
        </w:rPr>
        <w:tab/>
      </w:r>
      <w:r>
        <w:rPr>
          <w:rFonts w:ascii="宋体" w:hAnsi="宋体" w:cs="宋体"/>
          <w:color w:val="auto"/>
          <w:kern w:val="2"/>
          <w:sz w:val="21"/>
          <w:szCs w:val="21"/>
          <w:highlight w:val="none"/>
        </w:rPr>
        <w:t>承包人应根据国家测绘基准、测绘系统和工程测量技术规范，按上述基准点（线）</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以及合同工程精度要求，测设施工控制网，承包人测设施工控制网的其他要求见合同条款专用部分。并将施工控制网资料在约定期限内报送监理人审批，其报送监理人审批的期限见合同条款专用部分。</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8.1.3</w:t>
      </w:r>
      <w:r>
        <w:rPr>
          <w:rFonts w:ascii="宋体" w:hAnsi="宋体"/>
          <w:color w:val="auto"/>
          <w:kern w:val="2"/>
          <w:sz w:val="21"/>
          <w:szCs w:val="21"/>
          <w:highlight w:val="none"/>
        </w:rPr>
        <w:tab/>
      </w:r>
      <w:r>
        <w:rPr>
          <w:rFonts w:ascii="宋体" w:hAnsi="宋体" w:cs="宋体"/>
          <w:color w:val="auto"/>
          <w:kern w:val="2"/>
          <w:sz w:val="21"/>
          <w:szCs w:val="21"/>
          <w:highlight w:val="none"/>
        </w:rPr>
        <w:t>承包人应负责管理施工控制网点。施工控制网点丢失或损坏的，承包人应及时修复，并承担施工控制网点的管理与修复费用。工程竣工后将施工控制网点移交发包人。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8.2</w:t>
      </w:r>
      <w:r>
        <w:rPr>
          <w:rFonts w:ascii="宋体" w:hAnsi="宋体"/>
          <w:color w:val="auto"/>
          <w:kern w:val="2"/>
          <w:sz w:val="21"/>
          <w:szCs w:val="21"/>
          <w:highlight w:val="none"/>
        </w:rPr>
        <w:tab/>
      </w:r>
      <w:r>
        <w:rPr>
          <w:rFonts w:ascii="宋体" w:hAnsi="宋体" w:cs="宋体"/>
          <w:color w:val="auto"/>
          <w:kern w:val="2"/>
          <w:sz w:val="21"/>
          <w:szCs w:val="21"/>
          <w:highlight w:val="none"/>
        </w:rPr>
        <w:t>施工测量</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8.2.1</w:t>
      </w:r>
      <w:r>
        <w:rPr>
          <w:rFonts w:ascii="宋体" w:hAnsi="宋体"/>
          <w:color w:val="auto"/>
          <w:kern w:val="2"/>
          <w:sz w:val="21"/>
          <w:szCs w:val="21"/>
          <w:highlight w:val="none"/>
        </w:rPr>
        <w:tab/>
      </w:r>
      <w:r>
        <w:rPr>
          <w:rFonts w:ascii="宋体" w:hAnsi="宋体" w:cs="宋体"/>
          <w:color w:val="auto"/>
          <w:kern w:val="2"/>
          <w:sz w:val="21"/>
          <w:szCs w:val="21"/>
          <w:highlight w:val="none"/>
        </w:rPr>
        <w:t>承包人应负责施工过程中的全部施工测量放线工作，并配置合格的人员、仪器、设备和其他物品。</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8.2.2</w:t>
      </w:r>
      <w:r>
        <w:rPr>
          <w:rFonts w:ascii="宋体" w:hAnsi="宋体"/>
          <w:color w:val="auto"/>
          <w:kern w:val="2"/>
          <w:sz w:val="21"/>
          <w:szCs w:val="21"/>
          <w:highlight w:val="none"/>
        </w:rPr>
        <w:tab/>
      </w:r>
      <w:r>
        <w:rPr>
          <w:rFonts w:ascii="宋体" w:hAnsi="宋体" w:cs="宋体"/>
          <w:color w:val="auto"/>
          <w:kern w:val="2"/>
          <w:sz w:val="21"/>
          <w:szCs w:val="21"/>
          <w:highlight w:val="none"/>
        </w:rPr>
        <w:t>监理人可以指示承包人进行抽样复测，当复测中发现错误或出现超过合同约定的误差时，承包人应按监理人指示进行修正或补测，并承担相应的复测费用。</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8.3</w:t>
      </w:r>
      <w:r>
        <w:rPr>
          <w:rFonts w:ascii="宋体" w:hAnsi="宋体"/>
          <w:color w:val="auto"/>
          <w:kern w:val="2"/>
          <w:sz w:val="21"/>
          <w:szCs w:val="21"/>
          <w:highlight w:val="none"/>
        </w:rPr>
        <w:tab/>
      </w:r>
      <w:r>
        <w:rPr>
          <w:rFonts w:ascii="宋体" w:hAnsi="宋体" w:cs="宋体"/>
          <w:color w:val="auto"/>
          <w:kern w:val="2"/>
          <w:sz w:val="21"/>
          <w:szCs w:val="21"/>
          <w:highlight w:val="none"/>
        </w:rPr>
        <w:t>基准资料错误的责任</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发现发包人提供的上述基准资料存在明显错误或疏忽的，应及时通知监理人。</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8.4</w:t>
      </w:r>
      <w:r>
        <w:rPr>
          <w:rFonts w:ascii="宋体" w:hAnsi="宋体"/>
          <w:color w:val="auto"/>
          <w:kern w:val="2"/>
          <w:sz w:val="21"/>
          <w:szCs w:val="21"/>
          <w:highlight w:val="none"/>
        </w:rPr>
        <w:tab/>
      </w:r>
      <w:r>
        <w:rPr>
          <w:rFonts w:ascii="宋体" w:hAnsi="宋体" w:cs="宋体"/>
          <w:color w:val="auto"/>
          <w:kern w:val="2"/>
          <w:sz w:val="21"/>
          <w:szCs w:val="21"/>
          <w:highlight w:val="none"/>
        </w:rPr>
        <w:t>监理人使用施工控制网</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监理人需要使用施工控制网的，承包人应提供必要的协助，发包人不再为此支付费用。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9.施工安全、治安保卫和环境保护</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9.1</w:t>
      </w:r>
      <w:r>
        <w:rPr>
          <w:rFonts w:ascii="宋体" w:hAnsi="宋体"/>
          <w:color w:val="auto"/>
          <w:kern w:val="2"/>
          <w:sz w:val="21"/>
          <w:szCs w:val="21"/>
          <w:highlight w:val="none"/>
        </w:rPr>
        <w:tab/>
      </w:r>
      <w:r>
        <w:rPr>
          <w:rFonts w:ascii="宋体" w:hAnsi="宋体" w:cs="宋体"/>
          <w:color w:val="auto"/>
          <w:kern w:val="2"/>
          <w:sz w:val="21"/>
          <w:szCs w:val="21"/>
          <w:highlight w:val="none"/>
        </w:rPr>
        <w:t>发包人的施工安全责任</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9.1.1</w:t>
      </w:r>
      <w:r>
        <w:rPr>
          <w:rFonts w:ascii="宋体" w:hAnsi="宋体"/>
          <w:color w:val="auto"/>
          <w:kern w:val="2"/>
          <w:sz w:val="21"/>
          <w:szCs w:val="21"/>
          <w:highlight w:val="none"/>
        </w:rPr>
        <w:tab/>
      </w:r>
      <w:r>
        <w:rPr>
          <w:rFonts w:ascii="宋体" w:hAnsi="宋体" w:cs="宋体"/>
          <w:color w:val="auto"/>
          <w:kern w:val="2"/>
          <w:sz w:val="21"/>
          <w:szCs w:val="21"/>
          <w:highlight w:val="none"/>
        </w:rPr>
        <w:t>发包人应按合同约定履行安全职责，授权监理人按合同约定的安全工作内容监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督、检查承包人安全工作的实施，组织承包人和有关单位进行安全检查。</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9.1.2</w:t>
      </w:r>
      <w:r>
        <w:rPr>
          <w:rFonts w:ascii="宋体" w:hAnsi="宋体"/>
          <w:color w:val="auto"/>
          <w:kern w:val="2"/>
          <w:sz w:val="21"/>
          <w:szCs w:val="21"/>
          <w:highlight w:val="none"/>
        </w:rPr>
        <w:tab/>
      </w:r>
      <w:r>
        <w:rPr>
          <w:rFonts w:ascii="宋体" w:hAnsi="宋体" w:cs="宋体"/>
          <w:color w:val="auto"/>
          <w:kern w:val="2"/>
          <w:sz w:val="21"/>
          <w:szCs w:val="21"/>
          <w:highlight w:val="none"/>
        </w:rPr>
        <w:t>发包人应对其现场机构雇佣的全部人员的工伤事故承担责任，但由于承包人原</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因造成发包人人员工伤的，应由承包人承担责任。</w:t>
      </w:r>
    </w:p>
    <w:p>
      <w:pPr>
        <w:tabs>
          <w:tab w:val="left" w:pos="1500"/>
        </w:tabs>
        <w:adjustRightInd/>
        <w:ind w:left="780" w:firstLine="0" w:firstLineChars="0"/>
        <w:jc w:val="both"/>
        <w:textAlignment w:val="auto"/>
        <w:rPr>
          <w:rFonts w:ascii="宋体" w:hAnsi="宋体"/>
          <w:color w:val="auto"/>
          <w:kern w:val="2"/>
          <w:sz w:val="21"/>
          <w:szCs w:val="21"/>
          <w:highlight w:val="none"/>
        </w:rPr>
      </w:pPr>
      <w:bookmarkStart w:id="711" w:name="page87"/>
      <w:bookmarkEnd w:id="711"/>
      <w:r>
        <w:rPr>
          <w:rFonts w:ascii="宋体" w:hAnsi="宋体" w:cs="宋体"/>
          <w:color w:val="auto"/>
          <w:kern w:val="2"/>
          <w:sz w:val="21"/>
          <w:szCs w:val="21"/>
          <w:highlight w:val="none"/>
        </w:rPr>
        <w:t>9.1.3</w:t>
      </w:r>
      <w:r>
        <w:rPr>
          <w:rFonts w:ascii="宋体" w:hAnsi="宋体"/>
          <w:color w:val="auto"/>
          <w:kern w:val="2"/>
          <w:sz w:val="21"/>
          <w:szCs w:val="21"/>
          <w:highlight w:val="none"/>
        </w:rPr>
        <w:tab/>
      </w:r>
      <w:r>
        <w:rPr>
          <w:rFonts w:ascii="宋体" w:hAnsi="宋体" w:cs="宋体"/>
          <w:color w:val="auto"/>
          <w:kern w:val="2"/>
          <w:sz w:val="21"/>
          <w:szCs w:val="21"/>
          <w:highlight w:val="none"/>
        </w:rPr>
        <w:t>发包人应负责赔偿以下各种情况造成的第三者人身伤亡和财产损失：</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（1）工程或工程的任何部分对土地的占用所造成的第三者财产损失；</w:t>
      </w:r>
    </w:p>
    <w:p>
      <w:pPr>
        <w:adjustRightInd/>
        <w:ind w:right="6"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（2）由于发包人原因在施工场地及其毗邻地带造成的第三者人身伤亡和财产损失。</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w:t>
      </w:r>
      <w:r>
        <w:rPr>
          <w:rFonts w:ascii="宋体" w:hAnsi="宋体"/>
          <w:color w:val="auto"/>
          <w:kern w:val="2"/>
          <w:sz w:val="21"/>
          <w:szCs w:val="21"/>
          <w:highlight w:val="none"/>
        </w:rPr>
        <w:tab/>
      </w:r>
      <w:r>
        <w:rPr>
          <w:rFonts w:ascii="宋体" w:hAnsi="宋体" w:cs="宋体"/>
          <w:color w:val="auto"/>
          <w:kern w:val="2"/>
          <w:sz w:val="21"/>
          <w:szCs w:val="21"/>
          <w:highlight w:val="none"/>
        </w:rPr>
        <w:t>承包人的施工安全责任</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9.2.2 承包人应加强施工作业安全管理，特别应加强易燃、易爆材料、火工器材、有毒与腐蚀性材料、行业挥发性有机物和其他危险品的管理，以及对爆破作业和地下工程施工等危险作业的管理。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9.2.3 承包人应严格按照国家安全标准制定施工安全操作规程，配备必要的安全生产和劳动保护设施，加强对承包人人员的安全教育，并发放安全工作手册和劳动保护用具。</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9.2.4 承包人应按监理人的指示制定应对灾害的紧急预案，报送监理人审批。承包人还应按预案做好安全检查，配置必要的救助物资和器材，切实保护好有关人员的人身和财产安全。</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9.2.5 合同约定的安全作业环境及安全施工措施所需费用应遵守有关规定，并包括在相关工作的合同价格中。因采取合同未约定的安全作业环境及安全施工措施增加的费用，由监理人按第 3.5 款商定或确定。</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9.2.6 承包人应对其履行合同所雇佣的全部人员，包括分包人人员的工伤事故承担责任，但由于发包人原因造成承包人人员工伤事故的，应由发包人承担责任。</w:t>
      </w:r>
    </w:p>
    <w:p>
      <w:pPr>
        <w:adjustRightInd/>
        <w:ind w:left="360" w:right="3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9.2.7 由于承包人原因在施工场地内及其毗邻地带造成的第三者人员伤亡和财产损失，由承包人负责赔偿。</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9.3</w:t>
      </w:r>
      <w:r>
        <w:rPr>
          <w:rFonts w:ascii="宋体" w:hAnsi="宋体"/>
          <w:color w:val="auto"/>
          <w:kern w:val="2"/>
          <w:sz w:val="21"/>
          <w:szCs w:val="21"/>
          <w:highlight w:val="none"/>
        </w:rPr>
        <w:tab/>
      </w:r>
      <w:r>
        <w:rPr>
          <w:rFonts w:ascii="宋体" w:hAnsi="宋体" w:cs="宋体"/>
          <w:color w:val="auto"/>
          <w:kern w:val="2"/>
          <w:sz w:val="21"/>
          <w:szCs w:val="21"/>
          <w:highlight w:val="none"/>
        </w:rPr>
        <w:t>治安保卫</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9.3.1</w:t>
      </w:r>
      <w:r>
        <w:rPr>
          <w:rFonts w:ascii="宋体" w:hAnsi="宋体"/>
          <w:color w:val="auto"/>
          <w:kern w:val="2"/>
          <w:sz w:val="21"/>
          <w:szCs w:val="21"/>
          <w:highlight w:val="none"/>
        </w:rPr>
        <w:tab/>
      </w:r>
      <w:r>
        <w:rPr>
          <w:rFonts w:ascii="宋体" w:hAnsi="宋体" w:cs="宋体"/>
          <w:color w:val="auto"/>
          <w:kern w:val="2"/>
          <w:sz w:val="21"/>
          <w:szCs w:val="21"/>
          <w:highlight w:val="none"/>
        </w:rPr>
        <w:t>发包人应与当地公安部门协商，在现场建立治安管理机构或联防组织，负责统</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一管理施工场地的治安保卫事项，履行合同工程的治安保卫职责。</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9.3.2</w:t>
      </w:r>
      <w:r>
        <w:rPr>
          <w:rFonts w:ascii="宋体" w:hAnsi="宋体"/>
          <w:color w:val="auto"/>
          <w:kern w:val="2"/>
          <w:sz w:val="21"/>
          <w:szCs w:val="21"/>
          <w:highlight w:val="none"/>
        </w:rPr>
        <w:tab/>
      </w:r>
      <w:r>
        <w:rPr>
          <w:rFonts w:ascii="宋体" w:hAnsi="宋体" w:cs="宋体"/>
          <w:color w:val="auto"/>
          <w:kern w:val="2"/>
          <w:sz w:val="21"/>
          <w:szCs w:val="21"/>
          <w:highlight w:val="none"/>
        </w:rPr>
        <w:t>发包人和承包人除应协助现场治安管理机构或联防组织维护施工场地的社会治</w:t>
      </w:r>
    </w:p>
    <w:p>
      <w:pPr>
        <w:adjustRightInd/>
        <w:ind w:firstLine="0" w:firstLineChars="0"/>
        <w:jc w:val="both"/>
        <w:textAlignment w:val="auto"/>
        <w:rPr>
          <w:rFonts w:ascii="宋体" w:hAnsi="宋体"/>
          <w:color w:val="auto"/>
          <w:kern w:val="2"/>
          <w:sz w:val="21"/>
          <w:szCs w:val="21"/>
          <w:highlight w:val="none"/>
        </w:rPr>
      </w:pP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安外，还应做好包括生活区在内的各自管辖区的治安保卫工作。</w:t>
      </w:r>
    </w:p>
    <w:p>
      <w:pPr>
        <w:tabs>
          <w:tab w:val="left" w:pos="15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9.3.3</w:t>
      </w:r>
      <w:r>
        <w:rPr>
          <w:rFonts w:ascii="宋体" w:hAnsi="宋体"/>
          <w:color w:val="auto"/>
          <w:kern w:val="2"/>
          <w:sz w:val="21"/>
          <w:szCs w:val="21"/>
          <w:highlight w:val="none"/>
        </w:rPr>
        <w:tab/>
      </w:r>
      <w:r>
        <w:rPr>
          <w:rFonts w:ascii="宋体" w:hAnsi="宋体" w:cs="宋体"/>
          <w:color w:val="auto"/>
          <w:kern w:val="2"/>
          <w:sz w:val="21"/>
          <w:szCs w:val="21"/>
          <w:highlight w:val="none"/>
        </w:rPr>
        <w:t>在工程开工前应当明确责任人编制施工场地治安管理计划，并制定应对突发治</w:t>
      </w:r>
      <w:bookmarkStart w:id="712" w:name="page88"/>
      <w:bookmarkEnd w:id="712"/>
      <w:r>
        <w:rPr>
          <w:rFonts w:ascii="宋体" w:hAnsi="宋体"/>
          <w:color w:val="auto"/>
          <w:kern w:val="2"/>
          <w:sz w:val="21"/>
          <w:szCs w:val="21"/>
          <w:highlight w:val="none"/>
        </w:rPr>
        <w:t>.</w:t>
      </w:r>
      <w:r>
        <w:rPr>
          <w:rFonts w:ascii="宋体" w:hAnsi="宋体" w:cs="宋体"/>
          <w:color w:val="auto"/>
          <w:kern w:val="2"/>
          <w:sz w:val="21"/>
          <w:szCs w:val="21"/>
          <w:highlight w:val="none"/>
        </w:rPr>
        <w:t>安事件的紧急预案。在工程施工过程中，发生暴乱、爆炸等恐怖事件，以及群殴、械斗等群</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体性突发治安事件的，发包人和承包人应立即向当地政府报告。发包人和承包人应积极协助</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当地有关部门采取措施平息事态，防止事态扩大，尽量减少财产损失和避免人员伤亡。制定</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施工场地治安管理计划和突发治安事件紧急预案的责任人见合同条款专用部分。</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w:t>
      </w:r>
      <w:r>
        <w:rPr>
          <w:rFonts w:ascii="宋体" w:hAnsi="宋体"/>
          <w:color w:val="auto"/>
          <w:kern w:val="2"/>
          <w:sz w:val="21"/>
          <w:szCs w:val="21"/>
          <w:highlight w:val="none"/>
        </w:rPr>
        <w:tab/>
      </w:r>
      <w:r>
        <w:rPr>
          <w:rFonts w:ascii="宋体" w:hAnsi="宋体" w:cs="宋体"/>
          <w:color w:val="auto"/>
          <w:kern w:val="2"/>
          <w:sz w:val="21"/>
          <w:szCs w:val="21"/>
          <w:highlight w:val="none"/>
        </w:rPr>
        <w:t>环境保护</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9.4.1 承包人在施工过程中，应遵守有关环境保护的法律，履行合同约定的环境保护义务，并对违反法律和合同约定义务所造成的环境破坏、人身伤害和财产损失负责。</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9.4.3 承包人应在合同条款专用部分约定的时限内，按合同约定的环保工作内容，编制施工环保措施计划（包含第 9.4.2 项约定的实施方案内容），报送监理人审批。监理人在合同条款专用部分约定的期限内给予批复。</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9.4.5 承包人应按合同约定采取有效措施，对施工开挖的边坡及时进行支护,维护排水设施，并进行水土保护，避免因施工造成的地质灾害。</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9.4.6 承包人应按国家饮用水管理标准定期对饮用水源进行监测，防止施工活动污染饮用水源。</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9.4.7 承包人应按合同约定，加强对噪声、粉尘、废气、废水和废油的控制，努力降低噪声，控制粉尘和废气浓度，做好废水和废油的治理和排放。</w:t>
      </w:r>
    </w:p>
    <w:p>
      <w:pPr>
        <w:tabs>
          <w:tab w:val="left" w:pos="94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9.5</w:t>
      </w:r>
      <w:r>
        <w:rPr>
          <w:rFonts w:ascii="宋体" w:hAnsi="宋体"/>
          <w:color w:val="auto"/>
          <w:kern w:val="2"/>
          <w:sz w:val="21"/>
          <w:szCs w:val="21"/>
          <w:highlight w:val="none"/>
        </w:rPr>
        <w:tab/>
      </w:r>
      <w:r>
        <w:rPr>
          <w:rFonts w:ascii="宋体" w:hAnsi="宋体" w:cs="宋体"/>
          <w:color w:val="auto"/>
          <w:kern w:val="2"/>
          <w:sz w:val="21"/>
          <w:szCs w:val="21"/>
          <w:highlight w:val="none"/>
        </w:rPr>
        <w:t>事故处理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工程施工过程中发生事故的，承包人应立即通知监理人，监理人应立即通知发包人。发包人和承包人应立即组织人员和设备进行紧急抢救和抢修，减少人员伤亡和财产损失，防止</w:t>
      </w:r>
      <w:bookmarkStart w:id="713" w:name="page89"/>
      <w:bookmarkEnd w:id="713"/>
      <w:r>
        <w:rPr>
          <w:rFonts w:ascii="宋体" w:hAnsi="宋体" w:cs="宋体"/>
          <w:color w:val="auto"/>
          <w:kern w:val="2"/>
          <w:sz w:val="21"/>
          <w:szCs w:val="21"/>
          <w:highlight w:val="none"/>
        </w:rPr>
        <w:t>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10.进度计划</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10.1</w:t>
      </w:r>
      <w:r>
        <w:rPr>
          <w:rFonts w:ascii="宋体" w:hAnsi="宋体"/>
          <w:color w:val="auto"/>
          <w:kern w:val="2"/>
          <w:sz w:val="21"/>
          <w:szCs w:val="21"/>
          <w:highlight w:val="none"/>
        </w:rPr>
        <w:tab/>
      </w:r>
      <w:r>
        <w:rPr>
          <w:rFonts w:ascii="宋体" w:hAnsi="宋体" w:cs="宋体"/>
          <w:color w:val="auto"/>
          <w:kern w:val="2"/>
          <w:sz w:val="21"/>
          <w:szCs w:val="21"/>
          <w:highlight w:val="none"/>
        </w:rPr>
        <w:t>合同进度计划</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10.1.1 承包人应当在收到监理人按照第 11.1.1 项发出的开工通知后 7 天内，编制详细的施工进度计划和施工方案说明报送监理人，施工进度计划中应载明要求发包人组织设计人进行阶段性工程设计交底的时间。监理人应在收到承包人报送的相关进度计划和施工方案说明后 14 天内批复或提出修改意见，否则该进度计划视为已得到批准。经监理人批准的施工进度计划称合同进度计划，是控制合同工程进度的依据。承包人编制施工进度计划和施工方案说明的内容见合同条款专用部分。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10.1.2 承包人还应根据合同进度计划，按照第 10.1.1 项相关约定编制更为详细的分阶段或分项进度计划，报监理人审批。承包人编制分阶段或分项施工进度计划和施工方案说明的内容及时限要求见合同条款专用部分。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10.2</w:t>
      </w:r>
      <w:r>
        <w:rPr>
          <w:rFonts w:ascii="宋体" w:hAnsi="宋体"/>
          <w:color w:val="auto"/>
          <w:kern w:val="2"/>
          <w:sz w:val="21"/>
          <w:szCs w:val="21"/>
          <w:highlight w:val="none"/>
        </w:rPr>
        <w:tab/>
      </w:r>
      <w:r>
        <w:rPr>
          <w:rFonts w:ascii="宋体" w:hAnsi="宋体" w:cs="宋体"/>
          <w:color w:val="auto"/>
          <w:kern w:val="2"/>
          <w:sz w:val="21"/>
          <w:szCs w:val="21"/>
          <w:highlight w:val="none"/>
        </w:rPr>
        <w:t>合同进度计划的修订</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10.2.1</w:t>
      </w:r>
      <w:r>
        <w:rPr>
          <w:rFonts w:ascii="宋体" w:hAnsi="宋体"/>
          <w:color w:val="auto"/>
          <w:kern w:val="2"/>
          <w:sz w:val="21"/>
          <w:szCs w:val="21"/>
          <w:highlight w:val="none"/>
        </w:rPr>
        <w:tab/>
      </w:r>
      <w:r>
        <w:rPr>
          <w:rFonts w:ascii="宋体" w:hAnsi="宋体" w:cs="宋体"/>
          <w:color w:val="auto"/>
          <w:kern w:val="2"/>
          <w:sz w:val="21"/>
          <w:szCs w:val="21"/>
          <w:highlight w:val="none"/>
        </w:rPr>
        <w:t>不论何种原因造成工程的实际进度与第 10.1 款的合同进度计划不符时，承包</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人可以在合同条款专用部分约定的期限内向监理人提交修订合同进度计划的申请报告，并附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有关措施和相关资料，报监理人审批；</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10.2.2</w:t>
      </w:r>
      <w:r>
        <w:rPr>
          <w:rFonts w:ascii="宋体" w:hAnsi="宋体"/>
          <w:color w:val="auto"/>
          <w:kern w:val="2"/>
          <w:sz w:val="21"/>
          <w:szCs w:val="21"/>
          <w:highlight w:val="none"/>
        </w:rPr>
        <w:tab/>
      </w:r>
      <w:r>
        <w:rPr>
          <w:rFonts w:ascii="宋体" w:hAnsi="宋体" w:cs="宋体"/>
          <w:color w:val="auto"/>
          <w:kern w:val="2"/>
          <w:sz w:val="21"/>
          <w:szCs w:val="21"/>
          <w:highlight w:val="none"/>
        </w:rPr>
        <w:t>监理人也可以直接向承包人作出修订合同进度计划的指示，承包人应按该指示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修订合同进度计划，报监理人审批。监理人应在合同条款专用部分约定的期限内完成批复。</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监理人在批复前应获得发包人同意。</w:t>
      </w:r>
      <w:bookmarkStart w:id="714" w:name="page90"/>
      <w:bookmarkEnd w:id="714"/>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11.开工和竣工</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w:t>
      </w:r>
      <w:r>
        <w:rPr>
          <w:rFonts w:ascii="宋体" w:hAnsi="宋体"/>
          <w:color w:val="auto"/>
          <w:kern w:val="2"/>
          <w:sz w:val="21"/>
          <w:szCs w:val="21"/>
          <w:highlight w:val="none"/>
        </w:rPr>
        <w:tab/>
      </w:r>
      <w:r>
        <w:rPr>
          <w:rFonts w:ascii="宋体" w:hAnsi="宋体" w:cs="宋体"/>
          <w:color w:val="auto"/>
          <w:kern w:val="2"/>
          <w:sz w:val="21"/>
          <w:szCs w:val="21"/>
          <w:highlight w:val="none"/>
        </w:rPr>
        <w:t>开工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11.1.1</w:t>
      </w:r>
      <w:r>
        <w:rPr>
          <w:rFonts w:ascii="宋体" w:hAnsi="宋体"/>
          <w:color w:val="auto"/>
          <w:kern w:val="2"/>
          <w:sz w:val="21"/>
          <w:szCs w:val="21"/>
          <w:highlight w:val="none"/>
        </w:rPr>
        <w:tab/>
      </w:r>
      <w:r>
        <w:rPr>
          <w:rFonts w:ascii="宋体" w:hAnsi="宋体" w:cs="宋体"/>
          <w:color w:val="auto"/>
          <w:kern w:val="2"/>
          <w:sz w:val="21"/>
          <w:szCs w:val="21"/>
          <w:highlight w:val="none"/>
        </w:rPr>
        <w:t>监理人应在开工日期 7 天前向承包人发出开工通知。监理人在发出开工通知前</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应获得发包人同意。工期自监理人发出的开工通知中载明的开工日期起计算。承包人应在开</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工日期后尽快施工。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11.1.2</w:t>
      </w:r>
      <w:r>
        <w:rPr>
          <w:rFonts w:ascii="宋体" w:hAnsi="宋体"/>
          <w:color w:val="auto"/>
          <w:kern w:val="2"/>
          <w:sz w:val="21"/>
          <w:szCs w:val="21"/>
          <w:highlight w:val="none"/>
        </w:rPr>
        <w:tab/>
      </w:r>
      <w:r>
        <w:rPr>
          <w:rFonts w:ascii="宋体" w:hAnsi="宋体" w:cs="宋体"/>
          <w:color w:val="auto"/>
          <w:kern w:val="2"/>
          <w:sz w:val="21"/>
          <w:szCs w:val="21"/>
          <w:highlight w:val="none"/>
        </w:rPr>
        <w:t>承包人应按第 10.1 款约定的合同进度计划，向监理人提交工程开工报审表，</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经监理人审批后执行。开工报审表应详细说明按合同进度计划正常施工所需的施工道路、临</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时设施、材料设备、施工人员等施工组织措施的落实情况以及工程的进度安排。</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11.2</w:t>
      </w:r>
      <w:r>
        <w:rPr>
          <w:rFonts w:ascii="宋体" w:hAnsi="宋体"/>
          <w:color w:val="auto"/>
          <w:kern w:val="2"/>
          <w:sz w:val="21"/>
          <w:szCs w:val="21"/>
          <w:highlight w:val="none"/>
        </w:rPr>
        <w:tab/>
      </w:r>
      <w:r>
        <w:rPr>
          <w:rFonts w:ascii="宋体" w:hAnsi="宋体" w:cs="宋体"/>
          <w:color w:val="auto"/>
          <w:kern w:val="2"/>
          <w:sz w:val="21"/>
          <w:szCs w:val="21"/>
          <w:highlight w:val="none"/>
        </w:rPr>
        <w:t>竣工</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承包人应在第 1.1.4.3 目约定的期限内完成合同工程。实际竣工日期在接收证书中写明。</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11.3</w:t>
      </w:r>
      <w:r>
        <w:rPr>
          <w:rFonts w:ascii="宋体" w:hAnsi="宋体"/>
          <w:color w:val="auto"/>
          <w:kern w:val="2"/>
          <w:sz w:val="21"/>
          <w:szCs w:val="21"/>
          <w:highlight w:val="none"/>
        </w:rPr>
        <w:tab/>
      </w:r>
      <w:r>
        <w:rPr>
          <w:rFonts w:ascii="宋体" w:hAnsi="宋体" w:cs="宋体"/>
          <w:color w:val="auto"/>
          <w:kern w:val="2"/>
          <w:sz w:val="21"/>
          <w:szCs w:val="21"/>
          <w:highlight w:val="none"/>
        </w:rPr>
        <w:t>发包人的工期延误</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在履行合同过程中，由于发包人的下列原因造成承包人关键线路工期延误的，承包人有权要求发包人延长工期和（或）增加费用，并支付合理利润。需要修订合同进度计划的，按照第 10.2 款的约定办理。</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（1）增加合同工作内容；</w:t>
      </w:r>
    </w:p>
    <w:p>
      <w:pPr>
        <w:adjustRightInd/>
        <w:ind w:left="680" w:right="2986"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（2）改变合同中任何一项工作的质量要求或其他特性；</w:t>
      </w:r>
    </w:p>
    <w:p>
      <w:pPr>
        <w:adjustRightInd/>
        <w:ind w:left="680" w:right="2986"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（3）发包人迟延提供材料、工程设备或变更交货地点的；（4）因发包人原因导致的暂停施工；</w:t>
      </w:r>
    </w:p>
    <w:p>
      <w:pPr>
        <w:adjustRightInd/>
        <w:ind w:left="680" w:right="298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（5）提供图纸延误；</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（6）未按合同约定及时支付预付款、进度款；</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（7）因发包人原因不能按照监理人发出的开工通知中载明的开工日期开工；</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（8）发包人造成工期延误的其他原因见合同条款专用部分。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11.4</w:t>
      </w:r>
      <w:r>
        <w:rPr>
          <w:rFonts w:ascii="宋体" w:hAnsi="宋体"/>
          <w:color w:val="auto"/>
          <w:kern w:val="2"/>
          <w:sz w:val="21"/>
          <w:szCs w:val="21"/>
          <w:highlight w:val="none"/>
        </w:rPr>
        <w:tab/>
      </w:r>
      <w:r>
        <w:rPr>
          <w:rFonts w:ascii="宋体" w:hAnsi="宋体" w:cs="宋体"/>
          <w:color w:val="auto"/>
          <w:kern w:val="2"/>
          <w:sz w:val="21"/>
          <w:szCs w:val="21"/>
          <w:highlight w:val="none"/>
        </w:rPr>
        <w:t>异常恶劣的气候条件</w:t>
      </w:r>
    </w:p>
    <w:p>
      <w:pPr>
        <w:adjustRightInd/>
        <w:ind w:left="7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由于出现异常恶劣气候的条件导致工期延误的，承包人有权要求发包人延长工期。异常恶劣的气候条件的范围和标准见合同条款专用部分。</w:t>
      </w:r>
      <w:bookmarkStart w:id="715" w:name="page91"/>
      <w:bookmarkEnd w:id="715"/>
    </w:p>
    <w:p>
      <w:pPr>
        <w:adjustRightInd/>
        <w:ind w:firstLine="315" w:firstLineChars="15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w:t>
      </w:r>
      <w:r>
        <w:rPr>
          <w:rFonts w:ascii="宋体" w:hAnsi="宋体"/>
          <w:color w:val="auto"/>
          <w:kern w:val="2"/>
          <w:sz w:val="21"/>
          <w:szCs w:val="21"/>
          <w:highlight w:val="none"/>
        </w:rPr>
        <w:tab/>
      </w:r>
      <w:r>
        <w:rPr>
          <w:rFonts w:ascii="宋体" w:hAnsi="宋体" w:cs="宋体"/>
          <w:color w:val="auto"/>
          <w:kern w:val="2"/>
          <w:sz w:val="21"/>
          <w:szCs w:val="21"/>
          <w:highlight w:val="none"/>
        </w:rPr>
        <w:t>承包人的工期延误</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11.5.1</w:t>
      </w:r>
      <w:r>
        <w:rPr>
          <w:rFonts w:ascii="宋体" w:hAnsi="宋体"/>
          <w:color w:val="auto"/>
          <w:kern w:val="2"/>
          <w:sz w:val="21"/>
          <w:szCs w:val="21"/>
          <w:highlight w:val="none"/>
        </w:rPr>
        <w:tab/>
      </w:r>
      <w:r>
        <w:rPr>
          <w:rFonts w:ascii="宋体" w:hAnsi="宋体" w:cs="宋体"/>
          <w:color w:val="auto"/>
          <w:kern w:val="2"/>
          <w:sz w:val="21"/>
          <w:szCs w:val="21"/>
          <w:highlight w:val="none"/>
        </w:rPr>
        <w:t>由于承包人原因，未能按合同进度计划完成工作，或监理人认为承包人施工进</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度不能满足合同工期要求的，承包人应采取措施加快进度，并承担加快进度所增加的费用。</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11.5.2</w:t>
      </w:r>
      <w:r>
        <w:rPr>
          <w:rFonts w:ascii="宋体" w:hAnsi="宋体"/>
          <w:color w:val="auto"/>
          <w:kern w:val="2"/>
          <w:sz w:val="21"/>
          <w:szCs w:val="21"/>
          <w:highlight w:val="none"/>
        </w:rPr>
        <w:tab/>
      </w:r>
      <w:r>
        <w:rPr>
          <w:rFonts w:ascii="宋体" w:hAnsi="宋体" w:cs="宋体"/>
          <w:color w:val="auto"/>
          <w:kern w:val="2"/>
          <w:sz w:val="21"/>
          <w:szCs w:val="21"/>
          <w:highlight w:val="none"/>
        </w:rPr>
        <w:t>由于承包人原因造成不能按期竣工的，按照合同约定的竣工日期（包括按合同工期延长）后 7 天内，监理人应当按第 23.4.1 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监理人未在规定的期限内发出本款约定的书面通知的，发包人丧失主张逾期竣工违约金的权利。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11.5.3</w:t>
      </w:r>
      <w:r>
        <w:rPr>
          <w:rFonts w:ascii="宋体" w:hAnsi="宋体"/>
          <w:color w:val="auto"/>
          <w:kern w:val="2"/>
          <w:sz w:val="21"/>
          <w:szCs w:val="21"/>
          <w:highlight w:val="none"/>
        </w:rPr>
        <w:tab/>
      </w:r>
      <w:r>
        <w:rPr>
          <w:rFonts w:ascii="宋体" w:hAnsi="宋体" w:cs="宋体"/>
          <w:color w:val="auto"/>
          <w:kern w:val="2"/>
          <w:sz w:val="21"/>
          <w:szCs w:val="21"/>
          <w:highlight w:val="none"/>
        </w:rPr>
        <w:t>承包人支付逾期竣工违约金，不免除承包人完成工程及修补缺陷的义务。</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11.6</w:t>
      </w:r>
      <w:r>
        <w:rPr>
          <w:rFonts w:ascii="宋体" w:hAnsi="宋体"/>
          <w:color w:val="auto"/>
          <w:kern w:val="2"/>
          <w:sz w:val="21"/>
          <w:szCs w:val="21"/>
          <w:highlight w:val="none"/>
        </w:rPr>
        <w:tab/>
      </w:r>
      <w:r>
        <w:rPr>
          <w:rFonts w:ascii="宋体" w:hAnsi="宋体" w:cs="宋体"/>
          <w:color w:val="auto"/>
          <w:kern w:val="2"/>
          <w:sz w:val="21"/>
          <w:szCs w:val="21"/>
          <w:highlight w:val="none"/>
        </w:rPr>
        <w:t>工期提前</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12.暂停施工</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12.1</w:t>
      </w:r>
      <w:r>
        <w:rPr>
          <w:rFonts w:ascii="宋体" w:hAnsi="宋体"/>
          <w:color w:val="auto"/>
          <w:kern w:val="2"/>
          <w:sz w:val="21"/>
          <w:szCs w:val="21"/>
          <w:highlight w:val="none"/>
        </w:rPr>
        <w:tab/>
      </w:r>
      <w:r>
        <w:rPr>
          <w:rFonts w:ascii="宋体" w:hAnsi="宋体" w:cs="宋体"/>
          <w:color w:val="auto"/>
          <w:kern w:val="2"/>
          <w:sz w:val="21"/>
          <w:szCs w:val="21"/>
          <w:highlight w:val="none"/>
        </w:rPr>
        <w:t>承包人暂停施工的责任</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因下列情形暂停施工增加的费用和（或）工期延误由承包人承担：</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（1）承包人违约引起的暂停施工；</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（2）由于承包人原因为工程合理施工和安全保障所必需的暂停施工；</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（3）承包人擅自暂停施工；</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（4）承包人承担暂停施工责任的其他情形见合同条款专用部分。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12.2</w:t>
      </w:r>
      <w:r>
        <w:rPr>
          <w:rFonts w:ascii="宋体" w:hAnsi="宋体"/>
          <w:color w:val="auto"/>
          <w:kern w:val="2"/>
          <w:sz w:val="21"/>
          <w:szCs w:val="21"/>
          <w:highlight w:val="none"/>
        </w:rPr>
        <w:tab/>
      </w:r>
      <w:r>
        <w:rPr>
          <w:rFonts w:ascii="宋体" w:hAnsi="宋体" w:cs="宋体"/>
          <w:color w:val="auto"/>
          <w:kern w:val="2"/>
          <w:sz w:val="21"/>
          <w:szCs w:val="21"/>
          <w:highlight w:val="none"/>
        </w:rPr>
        <w:t>发包人暂停施工的责任</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由于发包人原因引起的暂停施工造成工期延误的，承包人有权要求发包人延长工期和（或）增加费用，并支付合理利润。</w:t>
      </w:r>
      <w:bookmarkStart w:id="716" w:name="page92"/>
      <w:bookmarkEnd w:id="716"/>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12.3</w:t>
      </w:r>
      <w:r>
        <w:rPr>
          <w:rFonts w:ascii="宋体" w:hAnsi="宋体"/>
          <w:color w:val="auto"/>
          <w:kern w:val="2"/>
          <w:sz w:val="21"/>
          <w:szCs w:val="21"/>
          <w:highlight w:val="none"/>
        </w:rPr>
        <w:tab/>
      </w:r>
      <w:r>
        <w:rPr>
          <w:rFonts w:ascii="宋体" w:hAnsi="宋体" w:cs="宋体"/>
          <w:color w:val="auto"/>
          <w:kern w:val="2"/>
          <w:sz w:val="21"/>
          <w:szCs w:val="21"/>
          <w:highlight w:val="none"/>
        </w:rPr>
        <w:t>监理人暂停施工指示</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12.3.1</w:t>
      </w:r>
      <w:r>
        <w:rPr>
          <w:rFonts w:ascii="宋体" w:hAnsi="宋体"/>
          <w:color w:val="auto"/>
          <w:kern w:val="2"/>
          <w:sz w:val="21"/>
          <w:szCs w:val="21"/>
          <w:highlight w:val="none"/>
        </w:rPr>
        <w:tab/>
      </w:r>
      <w:r>
        <w:rPr>
          <w:rFonts w:ascii="宋体" w:hAnsi="宋体" w:cs="宋体"/>
          <w:color w:val="auto"/>
          <w:kern w:val="2"/>
          <w:sz w:val="21"/>
          <w:szCs w:val="21"/>
          <w:highlight w:val="none"/>
        </w:rPr>
        <w:t>监理人认为有必要时，可向承包人作出暂停施工的指示，承包人应按监理人指</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示暂停施工。不论由于何种原因引起的暂停施工，暂停施工期间承包人应负责妥善保护工程</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并提供安全保障。</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12.3.2</w:t>
      </w:r>
      <w:r>
        <w:rPr>
          <w:rFonts w:ascii="宋体" w:hAnsi="宋体"/>
          <w:color w:val="auto"/>
          <w:kern w:val="2"/>
          <w:sz w:val="21"/>
          <w:szCs w:val="21"/>
          <w:highlight w:val="none"/>
        </w:rPr>
        <w:tab/>
      </w:r>
      <w:r>
        <w:rPr>
          <w:rFonts w:ascii="宋体" w:hAnsi="宋体" w:cs="宋体"/>
          <w:color w:val="auto"/>
          <w:kern w:val="2"/>
          <w:sz w:val="21"/>
          <w:szCs w:val="21"/>
          <w:highlight w:val="none"/>
        </w:rPr>
        <w:t>由于发包人的原因发生暂停施工的紧急情况，且监理人未及时下达暂停施工指</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示的，承包人可先暂停施工，并及时向监理人提出暂停施工的书面请求。监理人应在接到书</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面请求后的 24 小时内予以答复，逾期未答复的，视为同意承包人的暂停施工请求。</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12.4</w:t>
      </w:r>
      <w:r>
        <w:rPr>
          <w:rFonts w:ascii="宋体" w:hAnsi="宋体"/>
          <w:color w:val="auto"/>
          <w:kern w:val="2"/>
          <w:sz w:val="21"/>
          <w:szCs w:val="21"/>
          <w:highlight w:val="none"/>
        </w:rPr>
        <w:tab/>
      </w:r>
      <w:r>
        <w:rPr>
          <w:rFonts w:ascii="宋体" w:hAnsi="宋体" w:cs="宋体"/>
          <w:color w:val="auto"/>
          <w:kern w:val="2"/>
          <w:sz w:val="21"/>
          <w:szCs w:val="21"/>
          <w:highlight w:val="none"/>
        </w:rPr>
        <w:t>暂停施工后的复工</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12.4.2 承包人无故拖延和拒绝复工的，由此增加的费用和工期延误由承包人承担；因发包人原因无法按时复工的，承包人有权要求发包人延长工期和（或）增加费用，并支付合理利润。</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12.4.3 根据第 12.4.1 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12.4.4 暂停施工持续 56 天以上，按合同约定由承包人提供的材料和工程设备，由于暂停施工原因导致承包人在暂停施工前已经订购但被暂停运至施工现场的，发包人应按照承包人订购合同的约定支付相应的订购款项。</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12.5</w:t>
      </w:r>
      <w:r>
        <w:rPr>
          <w:rFonts w:ascii="宋体" w:hAnsi="宋体"/>
          <w:color w:val="auto"/>
          <w:kern w:val="2"/>
          <w:sz w:val="21"/>
          <w:szCs w:val="21"/>
          <w:highlight w:val="none"/>
        </w:rPr>
        <w:tab/>
      </w:r>
      <w:r>
        <w:rPr>
          <w:rFonts w:ascii="宋体" w:hAnsi="宋体" w:cs="宋体"/>
          <w:color w:val="auto"/>
          <w:kern w:val="2"/>
          <w:sz w:val="21"/>
          <w:szCs w:val="21"/>
          <w:highlight w:val="none"/>
        </w:rPr>
        <w:t>暂停施工持续 56 天以上</w:t>
      </w:r>
    </w:p>
    <w:p>
      <w:pPr>
        <w:adjustRightInd/>
        <w:ind w:left="360" w:right="346" w:firstLine="413"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12.5.1 监理人发出暂停施工指示后 56 天内未向承包人发出复工通知，除了该项停工属于第 12.1 款的情况外，承包人可向监理人提交书面通知，要求监理人在收到书面通知后</w:t>
      </w:r>
    </w:p>
    <w:p>
      <w:pPr>
        <w:widowControl/>
        <w:numPr>
          <w:ilvl w:val="0"/>
          <w:numId w:val="6"/>
        </w:numPr>
        <w:tabs>
          <w:tab w:val="left" w:pos="677"/>
        </w:tabs>
        <w:adjustRightInd/>
        <w:ind w:left="360" w:right="346" w:hanging="2"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天内准许已暂停施工的工程或其中一部分工程继续施工。如监理人逾期不予批准，则承包人可以通知监理人，将工程受影响的部分视为按第 15.1（1）项的可取消工作。如暂停施工影响到整个工程，可视为发包人违约，应按第 22.2 款的规定办理。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12.5.2  由于承包人责任引起的暂停施工，如承包人在收到监理人暂停施工指示后 56</w:t>
      </w:r>
      <w:bookmarkStart w:id="717" w:name="page93"/>
      <w:bookmarkEnd w:id="717"/>
      <w:r>
        <w:rPr>
          <w:rFonts w:ascii="宋体" w:hAnsi="宋体" w:cs="宋体"/>
          <w:color w:val="auto"/>
          <w:kern w:val="2"/>
          <w:sz w:val="21"/>
          <w:szCs w:val="21"/>
          <w:highlight w:val="none"/>
        </w:rPr>
        <w:t>天内不认真采取有效的复工措施，造成工期延误，可视为承包人违约，应按第 22.1 款的规定办理。</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13.工程质量</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13.1</w:t>
      </w:r>
      <w:r>
        <w:rPr>
          <w:rFonts w:ascii="宋体" w:hAnsi="宋体"/>
          <w:color w:val="auto"/>
          <w:kern w:val="2"/>
          <w:sz w:val="21"/>
          <w:szCs w:val="21"/>
          <w:highlight w:val="none"/>
        </w:rPr>
        <w:tab/>
      </w:r>
      <w:r>
        <w:rPr>
          <w:rFonts w:ascii="宋体" w:hAnsi="宋体" w:cs="宋体"/>
          <w:color w:val="auto"/>
          <w:kern w:val="2"/>
          <w:sz w:val="21"/>
          <w:szCs w:val="21"/>
          <w:highlight w:val="none"/>
        </w:rPr>
        <w:t>工程质量要求</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13.1.1</w:t>
      </w:r>
      <w:r>
        <w:rPr>
          <w:rFonts w:ascii="宋体" w:hAnsi="宋体"/>
          <w:color w:val="auto"/>
          <w:kern w:val="2"/>
          <w:sz w:val="21"/>
          <w:szCs w:val="21"/>
          <w:highlight w:val="none"/>
        </w:rPr>
        <w:tab/>
      </w:r>
      <w:r>
        <w:rPr>
          <w:rFonts w:ascii="宋体" w:hAnsi="宋体" w:cs="宋体"/>
          <w:color w:val="auto"/>
          <w:kern w:val="2"/>
          <w:sz w:val="21"/>
          <w:szCs w:val="21"/>
          <w:highlight w:val="none"/>
        </w:rPr>
        <w:t>工程质量验收按合同约定验收标准执行。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13.1.2</w:t>
      </w:r>
      <w:r>
        <w:rPr>
          <w:rFonts w:ascii="宋体" w:hAnsi="宋体"/>
          <w:color w:val="auto"/>
          <w:kern w:val="2"/>
          <w:sz w:val="21"/>
          <w:szCs w:val="21"/>
          <w:highlight w:val="none"/>
        </w:rPr>
        <w:tab/>
      </w:r>
      <w:r>
        <w:rPr>
          <w:rFonts w:ascii="宋体" w:hAnsi="宋体" w:cs="宋体"/>
          <w:color w:val="auto"/>
          <w:kern w:val="2"/>
          <w:sz w:val="21"/>
          <w:szCs w:val="21"/>
          <w:highlight w:val="none"/>
        </w:rPr>
        <w:t>因承包人原因造成工程质量达不到合同约定验收标准的，监理人有权要求承包</w:t>
      </w:r>
    </w:p>
    <w:p>
      <w:pPr>
        <w:adjustRightInd/>
        <w:ind w:firstLine="0" w:firstLineChars="0"/>
        <w:jc w:val="both"/>
        <w:textAlignment w:val="auto"/>
        <w:rPr>
          <w:rFonts w:ascii="宋体" w:hAnsi="宋体"/>
          <w:color w:val="auto"/>
          <w:kern w:val="2"/>
          <w:sz w:val="21"/>
          <w:szCs w:val="21"/>
          <w:highlight w:val="none"/>
        </w:rPr>
      </w:pP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人返工直至符合合同要求为止，由此造成的费用增加和（或）工期延误由承包人承担。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13.1.3</w:t>
      </w:r>
      <w:r>
        <w:rPr>
          <w:rFonts w:ascii="宋体" w:hAnsi="宋体"/>
          <w:color w:val="auto"/>
          <w:kern w:val="2"/>
          <w:sz w:val="21"/>
          <w:szCs w:val="21"/>
          <w:highlight w:val="none"/>
        </w:rPr>
        <w:tab/>
      </w:r>
      <w:r>
        <w:rPr>
          <w:rFonts w:ascii="宋体" w:hAnsi="宋体" w:cs="宋体"/>
          <w:color w:val="auto"/>
          <w:kern w:val="2"/>
          <w:sz w:val="21"/>
          <w:szCs w:val="21"/>
          <w:highlight w:val="none"/>
        </w:rPr>
        <w:t>因发包人原因造成工程质量达不到合同约定验收标准的，发包人应承担由于承</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包人返工造成的费用增加和（或）工期延误，并支付承包人合理利润。</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13.2</w:t>
      </w:r>
      <w:r>
        <w:rPr>
          <w:rFonts w:ascii="宋体" w:hAnsi="宋体"/>
          <w:color w:val="auto"/>
          <w:kern w:val="2"/>
          <w:sz w:val="21"/>
          <w:szCs w:val="21"/>
          <w:highlight w:val="none"/>
        </w:rPr>
        <w:tab/>
      </w:r>
      <w:r>
        <w:rPr>
          <w:rFonts w:ascii="宋体" w:hAnsi="宋体" w:cs="宋体"/>
          <w:color w:val="auto"/>
          <w:kern w:val="2"/>
          <w:sz w:val="21"/>
          <w:szCs w:val="21"/>
          <w:highlight w:val="none"/>
        </w:rPr>
        <w:t>承包人的质量管理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13.2.1</w:t>
      </w:r>
      <w:r>
        <w:rPr>
          <w:rFonts w:ascii="宋体" w:hAnsi="宋体"/>
          <w:color w:val="auto"/>
          <w:kern w:val="2"/>
          <w:sz w:val="21"/>
          <w:szCs w:val="21"/>
          <w:highlight w:val="none"/>
        </w:rPr>
        <w:tab/>
      </w:r>
      <w:r>
        <w:rPr>
          <w:rFonts w:ascii="宋体" w:hAnsi="宋体" w:cs="宋体"/>
          <w:color w:val="auto"/>
          <w:kern w:val="2"/>
          <w:sz w:val="21"/>
          <w:szCs w:val="21"/>
          <w:highlight w:val="none"/>
        </w:rPr>
        <w:t>承包人应在施工场地设置专门的质量检查机构，配备专职质量检查人员，建立</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完善的质量检查制度。承包人应在合同条款专用部分约定的期限内，提交工程质量保证措施</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文件，包括质量检查机构的组织和岗位责任、质检人员的组成、质量检查程序和实施细则等，</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报送监理人审批。监理人应在合同条款专用部分约定的期限内完成审批。</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13.2.2</w:t>
      </w:r>
      <w:r>
        <w:rPr>
          <w:rFonts w:ascii="宋体" w:hAnsi="宋体"/>
          <w:color w:val="auto"/>
          <w:kern w:val="2"/>
          <w:sz w:val="21"/>
          <w:szCs w:val="21"/>
          <w:highlight w:val="none"/>
        </w:rPr>
        <w:tab/>
      </w:r>
      <w:r>
        <w:rPr>
          <w:rFonts w:ascii="宋体" w:hAnsi="宋体" w:cs="宋体"/>
          <w:color w:val="auto"/>
          <w:kern w:val="2"/>
          <w:sz w:val="21"/>
          <w:szCs w:val="21"/>
          <w:highlight w:val="none"/>
        </w:rPr>
        <w:t>承包人应加强对施工人员的质量教育和技术培训，定期考核施工人员的劳动技</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能，严格执行规范和操作规程。</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13.3</w:t>
      </w:r>
      <w:r>
        <w:rPr>
          <w:rFonts w:ascii="宋体" w:hAnsi="宋体"/>
          <w:color w:val="auto"/>
          <w:kern w:val="2"/>
          <w:sz w:val="21"/>
          <w:szCs w:val="21"/>
          <w:highlight w:val="none"/>
        </w:rPr>
        <w:tab/>
      </w:r>
      <w:r>
        <w:rPr>
          <w:rFonts w:ascii="宋体" w:hAnsi="宋体" w:cs="宋体"/>
          <w:color w:val="auto"/>
          <w:kern w:val="2"/>
          <w:sz w:val="21"/>
          <w:szCs w:val="21"/>
          <w:highlight w:val="none"/>
        </w:rPr>
        <w:t>承包人的质量检查</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承包人应按合同条款专用部分的约定对材料、工程设备以及工程的所有部位及其施工工</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艺进行全过程的质量检查和检验，并作详细记录，编制工程质量报表，报送监理人审查。监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理人应在合同条款专用部分约定的期限内完成审查。</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13.4</w:t>
      </w:r>
      <w:r>
        <w:rPr>
          <w:rFonts w:ascii="宋体" w:hAnsi="宋体"/>
          <w:color w:val="auto"/>
          <w:kern w:val="2"/>
          <w:sz w:val="21"/>
          <w:szCs w:val="21"/>
          <w:highlight w:val="none"/>
        </w:rPr>
        <w:tab/>
      </w:r>
      <w:r>
        <w:rPr>
          <w:rFonts w:ascii="宋体" w:hAnsi="宋体" w:cs="宋体"/>
          <w:color w:val="auto"/>
          <w:kern w:val="2"/>
          <w:sz w:val="21"/>
          <w:szCs w:val="21"/>
          <w:highlight w:val="none"/>
        </w:rPr>
        <w:t>监理人的质量检查</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监理人有权对工程的所有部位及其施工工艺、材料和工程设备进行检查和检验。承包人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应为监理人的检查和检验提供方便，包括监理人到施工场地，或制造、加工地点，或合同约</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定的其他地方进行察看和查阅施工原始记录。承包人还应按监理人指示，进行施工场地取样</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试验、工程复核测量和设备性能检测，提供试验样品、提交试验报告和测量成果以及监理人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要求进行的其他工作。监理人的检查和检验，不免除承包人按合同约定应负的责任。监理人</w:t>
      </w:r>
      <w:bookmarkStart w:id="718" w:name="page94"/>
      <w:bookmarkEnd w:id="718"/>
      <w:r>
        <w:rPr>
          <w:rFonts w:ascii="宋体" w:hAnsi="宋体"/>
          <w:color w:val="auto"/>
          <w:kern w:val="2"/>
          <w:sz w:val="21"/>
          <w:szCs w:val="21"/>
          <w:highlight w:val="none"/>
        </w:rPr>
        <w:t>.</w:t>
      </w:r>
    </w:p>
    <w:p>
      <w:pPr>
        <w:adjustRightInd/>
        <w:ind w:right="-13" w:firstLine="0" w:firstLineChars="0"/>
        <w:jc w:val="center"/>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可以进行察看和查阅施工原始记录的其他地方见合同条款专用部分。</w:t>
      </w:r>
    </w:p>
    <w:p>
      <w:pPr>
        <w:adjustRightInd/>
        <w:ind w:right="-13" w:firstLine="0" w:firstLineChars="0"/>
        <w:textAlignment w:val="auto"/>
        <w:rPr>
          <w:rFonts w:ascii="宋体" w:hAnsi="宋体"/>
          <w:color w:val="auto"/>
          <w:kern w:val="2"/>
          <w:sz w:val="21"/>
          <w:szCs w:val="21"/>
          <w:highlight w:val="none"/>
        </w:rPr>
      </w:pPr>
      <w:r>
        <w:rPr>
          <w:rFonts w:ascii="宋体" w:hAnsi="宋体" w:cs="宋体"/>
          <w:color w:val="auto"/>
          <w:kern w:val="2"/>
          <w:sz w:val="21"/>
          <w:szCs w:val="21"/>
          <w:highlight w:val="none"/>
        </w:rPr>
        <w:t>13.5</w:t>
      </w:r>
      <w:r>
        <w:rPr>
          <w:rFonts w:ascii="宋体" w:hAnsi="宋体"/>
          <w:color w:val="auto"/>
          <w:kern w:val="2"/>
          <w:sz w:val="21"/>
          <w:szCs w:val="21"/>
          <w:highlight w:val="none"/>
        </w:rPr>
        <w:tab/>
      </w:r>
      <w:r>
        <w:rPr>
          <w:rFonts w:ascii="宋体" w:hAnsi="宋体" w:cs="宋体"/>
          <w:color w:val="auto"/>
          <w:kern w:val="2"/>
          <w:sz w:val="21"/>
          <w:szCs w:val="21"/>
          <w:highlight w:val="none"/>
        </w:rPr>
        <w:t>工程隐蔽部位覆盖前的检查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13.5.1</w:t>
      </w:r>
      <w:r>
        <w:rPr>
          <w:rFonts w:ascii="宋体" w:hAnsi="宋体"/>
          <w:color w:val="auto"/>
          <w:kern w:val="2"/>
          <w:sz w:val="21"/>
          <w:szCs w:val="21"/>
          <w:highlight w:val="none"/>
        </w:rPr>
        <w:tab/>
      </w:r>
      <w:r>
        <w:rPr>
          <w:rFonts w:ascii="宋体" w:hAnsi="宋体" w:cs="宋体"/>
          <w:color w:val="auto"/>
          <w:kern w:val="2"/>
          <w:sz w:val="21"/>
          <w:szCs w:val="21"/>
          <w:highlight w:val="none"/>
        </w:rPr>
        <w:t>通知监理人检查</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13.5.2</w:t>
      </w:r>
      <w:r>
        <w:rPr>
          <w:rFonts w:ascii="宋体" w:hAnsi="宋体"/>
          <w:color w:val="auto"/>
          <w:kern w:val="2"/>
          <w:sz w:val="21"/>
          <w:szCs w:val="21"/>
          <w:highlight w:val="none"/>
        </w:rPr>
        <w:tab/>
      </w:r>
      <w:r>
        <w:rPr>
          <w:rFonts w:ascii="宋体" w:hAnsi="宋体" w:cs="宋体"/>
          <w:color w:val="auto"/>
          <w:kern w:val="2"/>
          <w:sz w:val="21"/>
          <w:szCs w:val="21"/>
          <w:highlight w:val="none"/>
        </w:rPr>
        <w:t>监理人未到场检查</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监理人未按第 13.5.1 项约定的时间进行检查的，除监理人另有指示外，承包人可自行完成覆盖工作，并作相应记录报送监理人，监理人应签字确认。监理人事后对检查记录有疑问的，可按第 13.5.3 项的约定重新检查。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13.5.3</w:t>
      </w:r>
      <w:r>
        <w:rPr>
          <w:rFonts w:ascii="宋体" w:hAnsi="宋体"/>
          <w:color w:val="auto"/>
          <w:kern w:val="2"/>
          <w:sz w:val="21"/>
          <w:szCs w:val="21"/>
          <w:highlight w:val="none"/>
        </w:rPr>
        <w:tab/>
      </w:r>
      <w:r>
        <w:rPr>
          <w:rFonts w:ascii="宋体" w:hAnsi="宋体" w:cs="宋体"/>
          <w:color w:val="auto"/>
          <w:kern w:val="2"/>
          <w:sz w:val="21"/>
          <w:szCs w:val="21"/>
          <w:highlight w:val="none"/>
        </w:rPr>
        <w:t>监理人重新检查</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承包人按第 13.5.1 项或第 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13.5.4</w:t>
      </w:r>
      <w:r>
        <w:rPr>
          <w:rFonts w:ascii="宋体" w:hAnsi="宋体"/>
          <w:color w:val="auto"/>
          <w:kern w:val="2"/>
          <w:sz w:val="21"/>
          <w:szCs w:val="21"/>
          <w:highlight w:val="none"/>
        </w:rPr>
        <w:tab/>
      </w:r>
      <w:r>
        <w:rPr>
          <w:rFonts w:ascii="宋体" w:hAnsi="宋体" w:cs="宋体"/>
          <w:color w:val="auto"/>
          <w:kern w:val="2"/>
          <w:sz w:val="21"/>
          <w:szCs w:val="21"/>
          <w:highlight w:val="none"/>
        </w:rPr>
        <w:t>承包人私自覆盖</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承包人未通知监理人到场检查，私自将工程隐蔽部位覆盖的，监理人有权指示承包人钻孔探测或揭开检查，由此增加的费用和（或）工期延误由承包人承担。</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13.6</w:t>
      </w:r>
      <w:r>
        <w:rPr>
          <w:rFonts w:ascii="宋体" w:hAnsi="宋体"/>
          <w:color w:val="auto"/>
          <w:kern w:val="2"/>
          <w:sz w:val="21"/>
          <w:szCs w:val="21"/>
          <w:highlight w:val="none"/>
        </w:rPr>
        <w:tab/>
      </w:r>
      <w:r>
        <w:rPr>
          <w:rFonts w:ascii="宋体" w:hAnsi="宋体" w:cs="宋体"/>
          <w:color w:val="auto"/>
          <w:kern w:val="2"/>
          <w:sz w:val="21"/>
          <w:szCs w:val="21"/>
          <w:highlight w:val="none"/>
        </w:rPr>
        <w:t>清除不合格工程</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13.6.1</w:t>
      </w:r>
      <w:r>
        <w:rPr>
          <w:rFonts w:ascii="宋体" w:hAnsi="宋体"/>
          <w:color w:val="auto"/>
          <w:kern w:val="2"/>
          <w:sz w:val="21"/>
          <w:szCs w:val="21"/>
          <w:highlight w:val="none"/>
        </w:rPr>
        <w:tab/>
      </w:r>
      <w:r>
        <w:rPr>
          <w:rFonts w:ascii="宋体" w:hAnsi="宋体" w:cs="宋体"/>
          <w:color w:val="auto"/>
          <w:kern w:val="2"/>
          <w:sz w:val="21"/>
          <w:szCs w:val="21"/>
          <w:highlight w:val="none"/>
        </w:rPr>
        <w:t>承包人使用不合格材料、工程设备，或采用不适当的施工工艺，或施工不当，</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造成工程不合格的，监理人可以随时发出指示，要求承包人立即采取措施进行补救，直至达</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到合同要求的质量标准，由此增加的费用和（或）工期延误由承包人承担。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13.6.2</w:t>
      </w:r>
      <w:r>
        <w:rPr>
          <w:rFonts w:ascii="宋体" w:hAnsi="宋体"/>
          <w:color w:val="auto"/>
          <w:kern w:val="2"/>
          <w:sz w:val="21"/>
          <w:szCs w:val="21"/>
          <w:highlight w:val="none"/>
        </w:rPr>
        <w:tab/>
      </w:r>
      <w:r>
        <w:rPr>
          <w:rFonts w:ascii="宋体" w:hAnsi="宋体" w:cs="宋体"/>
          <w:color w:val="auto"/>
          <w:kern w:val="2"/>
          <w:sz w:val="21"/>
          <w:szCs w:val="21"/>
          <w:highlight w:val="none"/>
        </w:rPr>
        <w:t>由于发包人提供的材料或工程设备不合格造成的工程不合格，需要承包人采取</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措施补救的，发包人应承担由此增加的费用和（或）工期延误，并支付承包人合理利润。</w:t>
      </w:r>
      <w:bookmarkStart w:id="719" w:name="page95"/>
      <w:bookmarkEnd w:id="719"/>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13.7</w:t>
      </w:r>
      <w:r>
        <w:rPr>
          <w:rFonts w:ascii="宋体" w:hAnsi="宋体"/>
          <w:color w:val="auto"/>
          <w:kern w:val="2"/>
          <w:sz w:val="21"/>
          <w:szCs w:val="21"/>
          <w:highlight w:val="none"/>
        </w:rPr>
        <w:tab/>
      </w:r>
      <w:r>
        <w:rPr>
          <w:rFonts w:ascii="宋体" w:hAnsi="宋体" w:cs="宋体"/>
          <w:color w:val="auto"/>
          <w:kern w:val="2"/>
          <w:sz w:val="21"/>
          <w:szCs w:val="21"/>
          <w:highlight w:val="none"/>
        </w:rPr>
        <w:t>质量争议</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发包人和承包人对工程质量有争议的，除可按第 24 条办理外，监理人可提请合同双方</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委托有相应资质的工程质量检测机构进行鉴定，所需费用及因此造成的损失，由责任人承担，</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双方均有责任，由双方根据其责任分别承担。经检测，质量确有缺陷的，已竣工验收或已竣</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工未验收但实际投入使用的工程，其处理按工程保修书的约定执行；已竣工未验收且未实际</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投入使用的工程以及停工、停建的工程，根据检测结果确定解决方案，或按工程质量监督机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构的处理决定执行。</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14.试验和检验</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14.1</w:t>
      </w:r>
      <w:r>
        <w:rPr>
          <w:rFonts w:ascii="宋体" w:hAnsi="宋体"/>
          <w:color w:val="auto"/>
          <w:kern w:val="2"/>
          <w:sz w:val="21"/>
          <w:szCs w:val="21"/>
          <w:highlight w:val="none"/>
        </w:rPr>
        <w:tab/>
      </w:r>
      <w:r>
        <w:rPr>
          <w:rFonts w:ascii="宋体" w:hAnsi="宋体" w:cs="宋体"/>
          <w:color w:val="auto"/>
          <w:kern w:val="2"/>
          <w:sz w:val="21"/>
          <w:szCs w:val="21"/>
          <w:highlight w:val="none"/>
        </w:rPr>
        <w:t>材料、工程设备和工程的试验和检验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14.1.1</w:t>
      </w:r>
      <w:r>
        <w:rPr>
          <w:rFonts w:ascii="宋体" w:hAnsi="宋体"/>
          <w:color w:val="auto"/>
          <w:kern w:val="2"/>
          <w:sz w:val="21"/>
          <w:szCs w:val="21"/>
          <w:highlight w:val="none"/>
        </w:rPr>
        <w:tab/>
      </w:r>
      <w:r>
        <w:rPr>
          <w:rFonts w:ascii="宋体" w:hAnsi="宋体" w:cs="宋体"/>
          <w:color w:val="auto"/>
          <w:kern w:val="2"/>
          <w:sz w:val="21"/>
          <w:szCs w:val="21"/>
          <w:highlight w:val="none"/>
        </w:rPr>
        <w:t>承包人应按合同约定进行材料、工程设备和工程的试验和检验，并为监理人对</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上述材料、工程设备和工程的质量检查提供必要的试验资料和原始记录。按合同约定应由监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理人与承包人共同进行试验和检验的，由承包人负责提供必要的试验资料和原始记录。</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14.1.2</w:t>
      </w:r>
      <w:r>
        <w:rPr>
          <w:rFonts w:ascii="宋体" w:hAnsi="宋体"/>
          <w:color w:val="auto"/>
          <w:kern w:val="2"/>
          <w:sz w:val="21"/>
          <w:szCs w:val="21"/>
          <w:highlight w:val="none"/>
        </w:rPr>
        <w:tab/>
      </w:r>
      <w:r>
        <w:rPr>
          <w:rFonts w:ascii="宋体" w:hAnsi="宋体" w:cs="宋体"/>
          <w:color w:val="auto"/>
          <w:kern w:val="2"/>
          <w:sz w:val="21"/>
          <w:szCs w:val="21"/>
          <w:highlight w:val="none"/>
        </w:rPr>
        <w:t>监理人未按合同约定派员参加试验和检验的，除监理人另有指示外，承包人可</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自行试验和检验，并应立即将试验和检验结果报送监理人，监理人应签字确认</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14.1.3</w:t>
      </w:r>
      <w:r>
        <w:rPr>
          <w:rFonts w:ascii="宋体" w:hAnsi="宋体"/>
          <w:color w:val="auto"/>
          <w:kern w:val="2"/>
          <w:sz w:val="21"/>
          <w:szCs w:val="21"/>
          <w:highlight w:val="none"/>
        </w:rPr>
        <w:tab/>
      </w:r>
      <w:r>
        <w:rPr>
          <w:rFonts w:ascii="宋体" w:hAnsi="宋体" w:cs="宋体"/>
          <w:color w:val="auto"/>
          <w:kern w:val="2"/>
          <w:sz w:val="21"/>
          <w:szCs w:val="21"/>
          <w:highlight w:val="none"/>
        </w:rPr>
        <w:t>监理人对承包人的试验和检验结果有疑问的，或为查清承包人试验和检验成果</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的可靠性要求承包人重新试验和检验的，可按合同约定由监理人与承包人共同进行。重新试</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验和检验的结果证明该项材料、工程设备或工程的质量不符合合同要求的，由此增加的费用</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和（或）工期延误由承包人承担；重新试验和检验结果证明该项材料、工程设备和工程符合</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合同要求，由发包人承担由此增加的费用和（或）工期延误，并支付承包人合理利润。</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14.2</w:t>
      </w:r>
      <w:r>
        <w:rPr>
          <w:rFonts w:ascii="宋体" w:hAnsi="宋体"/>
          <w:color w:val="auto"/>
          <w:kern w:val="2"/>
          <w:sz w:val="21"/>
          <w:szCs w:val="21"/>
          <w:highlight w:val="none"/>
        </w:rPr>
        <w:tab/>
      </w:r>
      <w:r>
        <w:rPr>
          <w:rFonts w:ascii="宋体" w:hAnsi="宋体" w:cs="宋体"/>
          <w:color w:val="auto"/>
          <w:kern w:val="2"/>
          <w:sz w:val="21"/>
          <w:szCs w:val="21"/>
          <w:highlight w:val="none"/>
        </w:rPr>
        <w:t>现场材料试验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14.2.1</w:t>
      </w:r>
      <w:r>
        <w:rPr>
          <w:rFonts w:ascii="宋体" w:hAnsi="宋体"/>
          <w:color w:val="auto"/>
          <w:kern w:val="2"/>
          <w:sz w:val="21"/>
          <w:szCs w:val="21"/>
          <w:highlight w:val="none"/>
        </w:rPr>
        <w:tab/>
      </w:r>
      <w:r>
        <w:rPr>
          <w:rFonts w:ascii="宋体" w:hAnsi="宋体" w:cs="宋体"/>
          <w:color w:val="auto"/>
          <w:kern w:val="2"/>
          <w:sz w:val="21"/>
          <w:szCs w:val="21"/>
          <w:highlight w:val="none"/>
        </w:rPr>
        <w:t>承包人根据合同约定或监理人指示进行的现场材料试验，应由承包人提供试验</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场所、试验人员、试验设备器材以及其他必要的试验条件。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14.2.2</w:t>
      </w:r>
      <w:r>
        <w:rPr>
          <w:rFonts w:ascii="宋体" w:hAnsi="宋体"/>
          <w:color w:val="auto"/>
          <w:kern w:val="2"/>
          <w:sz w:val="21"/>
          <w:szCs w:val="21"/>
          <w:highlight w:val="none"/>
        </w:rPr>
        <w:tab/>
      </w:r>
      <w:r>
        <w:rPr>
          <w:rFonts w:ascii="宋体" w:hAnsi="宋体" w:cs="宋体"/>
          <w:color w:val="auto"/>
          <w:kern w:val="2"/>
          <w:sz w:val="21"/>
          <w:szCs w:val="21"/>
          <w:highlight w:val="none"/>
        </w:rPr>
        <w:t>监理人在必要时可以使用承包人的试验场所、试验设备器材以及其他试验条</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件，进行以工程质量检查为目的的复核性材料试验，承包人应予以协助。</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14.3</w:t>
      </w:r>
      <w:r>
        <w:rPr>
          <w:rFonts w:ascii="宋体" w:hAnsi="宋体"/>
          <w:color w:val="auto"/>
          <w:kern w:val="2"/>
          <w:sz w:val="21"/>
          <w:szCs w:val="21"/>
          <w:highlight w:val="none"/>
        </w:rPr>
        <w:tab/>
      </w:r>
      <w:r>
        <w:rPr>
          <w:rFonts w:ascii="宋体" w:hAnsi="宋体" w:cs="宋体"/>
          <w:color w:val="auto"/>
          <w:kern w:val="2"/>
          <w:sz w:val="21"/>
          <w:szCs w:val="21"/>
          <w:highlight w:val="none"/>
        </w:rPr>
        <w:t>现场工艺试验</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承包人应按合同约定或监理人指示进行现场工艺试验。对大型的现场工艺试验，监理人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认为必要时，应由承包人根据监理人提出的工艺试验要求，编制工艺试验措施计划，报送监</w:t>
      </w:r>
    </w:p>
    <w:p>
      <w:pPr>
        <w:adjustRightInd/>
        <w:ind w:left="360" w:firstLine="0" w:firstLineChars="0"/>
        <w:jc w:val="both"/>
        <w:textAlignment w:val="auto"/>
        <w:rPr>
          <w:rFonts w:ascii="宋体" w:hAnsi="宋体"/>
          <w:color w:val="auto"/>
          <w:kern w:val="2"/>
          <w:sz w:val="21"/>
          <w:szCs w:val="21"/>
          <w:highlight w:val="none"/>
        </w:rPr>
      </w:pPr>
      <w:bookmarkStart w:id="720" w:name="page96"/>
      <w:bookmarkEnd w:id="720"/>
      <w:r>
        <w:rPr>
          <w:rFonts w:ascii="宋体" w:hAnsi="宋体" w:cs="宋体"/>
          <w:color w:val="auto"/>
          <w:kern w:val="2"/>
          <w:sz w:val="21"/>
          <w:szCs w:val="21"/>
          <w:highlight w:val="none"/>
        </w:rPr>
        <w:t>理人审批。</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15.变更</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15.1</w:t>
      </w:r>
      <w:r>
        <w:rPr>
          <w:rFonts w:ascii="宋体" w:hAnsi="宋体"/>
          <w:color w:val="auto"/>
          <w:kern w:val="2"/>
          <w:sz w:val="21"/>
          <w:szCs w:val="21"/>
          <w:highlight w:val="none"/>
        </w:rPr>
        <w:tab/>
      </w:r>
      <w:r>
        <w:rPr>
          <w:rFonts w:ascii="宋体" w:hAnsi="宋体" w:cs="宋体"/>
          <w:color w:val="auto"/>
          <w:kern w:val="2"/>
          <w:sz w:val="21"/>
          <w:szCs w:val="21"/>
          <w:highlight w:val="none"/>
        </w:rPr>
        <w:t>变更的范围和内容</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15.1.1</w:t>
      </w:r>
      <w:r>
        <w:rPr>
          <w:rFonts w:ascii="宋体" w:hAnsi="宋体"/>
          <w:color w:val="auto"/>
          <w:kern w:val="2"/>
          <w:sz w:val="21"/>
          <w:szCs w:val="21"/>
          <w:highlight w:val="none"/>
        </w:rPr>
        <w:tab/>
      </w:r>
      <w:r>
        <w:rPr>
          <w:rFonts w:ascii="宋体" w:hAnsi="宋体" w:cs="宋体"/>
          <w:color w:val="auto"/>
          <w:kern w:val="2"/>
          <w:sz w:val="21"/>
          <w:szCs w:val="21"/>
          <w:highlight w:val="none"/>
        </w:rPr>
        <w:t>在履行合同中发生以下情形之一，应按照本条规定进行变更。</w:t>
      </w:r>
    </w:p>
    <w:p>
      <w:pPr>
        <w:adjustRightInd/>
        <w:ind w:left="680" w:right="88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（1）取消合同中任何一项工作，但被取消的工作不能转由发包人或其他人实施；（2）改变合同中任何一项工作的质量或其他特性；（3）改变合同工程的基线、标高、位置或尺寸；</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（4）改变合同中任何一项工作的施工时间或改变已批准的施工工艺或顺序；</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（5）为完成工程需要追加的额外工作；</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（6）变更的其他情形见合同条款专用部分。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15.1.2 发包人违背第 15.1（1）目的约定，将被取消的合同中的工作转由发包人或其他人实施的，承包人可向监理人发出通知，要求发包人采取有效措施纠正违约行为，发包人在监理人收到承包人通知后 28 天内仍不纠正违约行为的，应当赔偿承包人损失（包括合理的利润）并承担由此引起的其他责任。承包人应当按第 23.1（1）项的约定，在上述 28 天期限到期后的 28 天内，向监理人递交索赔意向通知书,并按第 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15.2</w:t>
      </w:r>
      <w:r>
        <w:rPr>
          <w:rFonts w:ascii="宋体" w:hAnsi="宋体"/>
          <w:color w:val="auto"/>
          <w:kern w:val="2"/>
          <w:sz w:val="21"/>
          <w:szCs w:val="21"/>
          <w:highlight w:val="none"/>
        </w:rPr>
        <w:tab/>
      </w:r>
      <w:r>
        <w:rPr>
          <w:rFonts w:ascii="宋体" w:hAnsi="宋体" w:cs="宋体"/>
          <w:color w:val="auto"/>
          <w:kern w:val="2"/>
          <w:sz w:val="21"/>
          <w:szCs w:val="21"/>
          <w:highlight w:val="none"/>
        </w:rPr>
        <w:t>变更权</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在履行合同过程中，经发包人同意，监理人可按第 15.3 款约定的变更程序向承包人作</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出变更指示，承包人应遵照执行。没有监理人的变更指示，承包人不得擅自变更。</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15.3</w:t>
      </w:r>
      <w:r>
        <w:rPr>
          <w:rFonts w:ascii="宋体" w:hAnsi="宋体"/>
          <w:color w:val="auto"/>
          <w:kern w:val="2"/>
          <w:sz w:val="21"/>
          <w:szCs w:val="21"/>
          <w:highlight w:val="none"/>
        </w:rPr>
        <w:tab/>
      </w:r>
      <w:r>
        <w:rPr>
          <w:rFonts w:ascii="宋体" w:hAnsi="宋体" w:cs="宋体"/>
          <w:color w:val="auto"/>
          <w:kern w:val="2"/>
          <w:sz w:val="21"/>
          <w:szCs w:val="21"/>
          <w:highlight w:val="none"/>
        </w:rPr>
        <w:t>变更程序</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15.3.1</w:t>
      </w:r>
      <w:r>
        <w:rPr>
          <w:rFonts w:ascii="宋体" w:hAnsi="宋体"/>
          <w:color w:val="auto"/>
          <w:kern w:val="2"/>
          <w:sz w:val="21"/>
          <w:szCs w:val="21"/>
          <w:highlight w:val="none"/>
        </w:rPr>
        <w:tab/>
      </w:r>
      <w:r>
        <w:rPr>
          <w:rFonts w:ascii="宋体" w:hAnsi="宋体" w:cs="宋体"/>
          <w:color w:val="auto"/>
          <w:kern w:val="2"/>
          <w:sz w:val="21"/>
          <w:szCs w:val="21"/>
          <w:highlight w:val="none"/>
        </w:rPr>
        <w:t>变更的提出</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（1）在合同履行过程中，可能发生第 15.1.1 项约定情形的，监理人可向承包人发出变</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更意向书。变更意向书应说明变更的具体内容和发包人对变更的时间要求，并附必要的图纸</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和相关资料。变更意向书应要求承包人提交包括拟实施变更工作的计划、措施和竣工时间等</w:t>
      </w:r>
    </w:p>
    <w:p>
      <w:pPr>
        <w:adjustRightInd/>
        <w:ind w:right="-13" w:firstLine="0" w:firstLineChars="0"/>
        <w:textAlignment w:val="auto"/>
        <w:rPr>
          <w:rFonts w:ascii="宋体" w:hAnsi="宋体"/>
          <w:color w:val="auto"/>
          <w:kern w:val="2"/>
          <w:sz w:val="21"/>
          <w:szCs w:val="21"/>
          <w:highlight w:val="none"/>
        </w:rPr>
      </w:pPr>
      <w:r>
        <w:rPr>
          <w:rFonts w:ascii="宋体" w:hAnsi="宋体" w:cs="宋体"/>
          <w:color w:val="auto"/>
          <w:kern w:val="2"/>
          <w:sz w:val="21"/>
          <w:szCs w:val="21"/>
          <w:highlight w:val="none"/>
        </w:rPr>
        <w:t>内容的实施方案。发包人同意承包人根据变更意向书要求提交的变更实施方案的，由监理人</w:t>
      </w:r>
      <w:bookmarkStart w:id="721" w:name="page97"/>
      <w:bookmarkEnd w:id="721"/>
      <w:r>
        <w:rPr>
          <w:rFonts w:ascii="宋体" w:hAnsi="宋体" w:cs="宋体"/>
          <w:color w:val="auto"/>
          <w:kern w:val="2"/>
          <w:sz w:val="21"/>
          <w:szCs w:val="21"/>
          <w:highlight w:val="none"/>
        </w:rPr>
        <w:t>按第 15.3.3 项约定发出变更指示。</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（2）在合同履行过程中，发生第 15.1.1 项约定情形的，监理人应按照第 15.3.3 项约定向承包人发出变更指示。</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（3）承包人收到监理人按合同约定发出的图纸和文件，经检查认为其中存在第 15.1.1 项约定情形的，可向监理人提出书面变更建议。变更建议应阐明要求变更的依据，并附必要的图纸和说明。监理人收到承包人书面建议后，应与发包人共同研究，确认存在变更的，应在收到承包人书面建议后的 14 天内作出变更指示。经研究后不同意作为变更的，应由监理人书面答复承包人。</w:t>
      </w:r>
    </w:p>
    <w:p>
      <w:pPr>
        <w:adjustRightInd/>
        <w:ind w:left="360" w:right="26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（4）若承包人收到监理人的变更意向书后认为难以实施此项变更，应立即通知监理人，说明原因并附详细依据。监理人与承包人和发包人协商后确定撤销、改变或不改变原变更意向书。</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15.3.2</w:t>
      </w:r>
      <w:r>
        <w:rPr>
          <w:rFonts w:ascii="宋体" w:hAnsi="宋体"/>
          <w:color w:val="auto"/>
          <w:kern w:val="2"/>
          <w:sz w:val="21"/>
          <w:szCs w:val="21"/>
          <w:highlight w:val="none"/>
        </w:rPr>
        <w:tab/>
      </w:r>
      <w:r>
        <w:rPr>
          <w:rFonts w:ascii="宋体" w:hAnsi="宋体" w:cs="宋体"/>
          <w:color w:val="auto"/>
          <w:kern w:val="2"/>
          <w:sz w:val="21"/>
          <w:szCs w:val="21"/>
          <w:highlight w:val="none"/>
        </w:rPr>
        <w:t>变更估价</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（1）除合同条款专用部分对期限另有约定外，承包人应在收到变更指示或变更意向书后的 14 天内，向监理人提交变更报价书，报价内容应根据第 15.4 款约定的估价原则，详细开列变更工作的价格组成及其依据，并附必要的施工方法说明和有关图纸。承包人提交变更报价书的期限见合同条款专用部分。</w:t>
      </w:r>
    </w:p>
    <w:p>
      <w:pPr>
        <w:adjustRightInd/>
        <w:ind w:left="360" w:right="26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（2）变更工作影响工期的，承包人应提出调整工期的具体细节。监理人认为有必要时，可要求承包人提交要求提前或延长工期的施工进度计划，及相应施工措施等详细资料。</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（3）除合同条款专用部分对期限另有约定外，监理人收到承包人变更报价书后的 14 天内，根据第 15.4 款约定的估价原则，按照第 3.5 款商定或确定变更价格。监理人商定或确定变更价格的期限见合同条款专用部分。</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（4）收到变更指示后，如承包人未在规定的期限内提交变更报价书的，监理人可自行决定是否调整合同价款以及如果监理人决定调整合同价款时，相应调整的具体金额。</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15.3.3</w:t>
      </w:r>
      <w:r>
        <w:rPr>
          <w:rFonts w:ascii="宋体" w:hAnsi="宋体"/>
          <w:color w:val="auto"/>
          <w:kern w:val="2"/>
          <w:sz w:val="21"/>
          <w:szCs w:val="21"/>
          <w:highlight w:val="none"/>
        </w:rPr>
        <w:tab/>
      </w:r>
      <w:r>
        <w:rPr>
          <w:rFonts w:ascii="宋体" w:hAnsi="宋体" w:cs="宋体"/>
          <w:color w:val="auto"/>
          <w:kern w:val="2"/>
          <w:sz w:val="21"/>
          <w:szCs w:val="21"/>
          <w:highlight w:val="none"/>
        </w:rPr>
        <w:t>变更指示</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（1）变更指示只能由监理人发出。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（2）变更指示应说明变更的目的、范围、变更内容以及变更的工程量及其进度和技术要求，并附有关图纸和文件。承包人收到变更指示后，应按变更指示进行变更工作。</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w:t>
      </w:r>
      <w:r>
        <w:rPr>
          <w:rFonts w:ascii="宋体" w:hAnsi="宋体"/>
          <w:color w:val="auto"/>
          <w:kern w:val="2"/>
          <w:sz w:val="21"/>
          <w:szCs w:val="21"/>
          <w:highlight w:val="none"/>
        </w:rPr>
        <w:tab/>
      </w:r>
      <w:r>
        <w:rPr>
          <w:rFonts w:ascii="宋体" w:hAnsi="宋体" w:cs="宋体"/>
          <w:color w:val="auto"/>
          <w:kern w:val="2"/>
          <w:sz w:val="21"/>
          <w:szCs w:val="21"/>
          <w:highlight w:val="none"/>
        </w:rPr>
        <w:t>变更的估价原则</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因工程量清单漏项（仅适用于合同协议书约定采用单价合同形式时）或变更引起的价格</w:t>
      </w:r>
    </w:p>
    <w:p>
      <w:pPr>
        <w:adjustRightInd/>
        <w:ind w:left="360" w:firstLine="0" w:firstLineChars="0"/>
        <w:jc w:val="both"/>
        <w:textAlignment w:val="auto"/>
        <w:rPr>
          <w:rFonts w:ascii="宋体" w:hAnsi="宋体"/>
          <w:color w:val="auto"/>
          <w:kern w:val="2"/>
          <w:sz w:val="21"/>
          <w:szCs w:val="21"/>
          <w:highlight w:val="none"/>
        </w:rPr>
      </w:pPr>
      <w:bookmarkStart w:id="722" w:name="page98"/>
      <w:bookmarkEnd w:id="722"/>
      <w:r>
        <w:rPr>
          <w:rFonts w:ascii="宋体" w:hAnsi="宋体" w:cs="宋体"/>
          <w:color w:val="auto"/>
          <w:kern w:val="2"/>
          <w:sz w:val="21"/>
          <w:szCs w:val="21"/>
          <w:highlight w:val="none"/>
        </w:rPr>
        <w:t>调整按照本款约定处理。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15.4.1</w:t>
      </w:r>
      <w:r>
        <w:rPr>
          <w:rFonts w:ascii="宋体" w:hAnsi="宋体"/>
          <w:color w:val="auto"/>
          <w:kern w:val="2"/>
          <w:sz w:val="21"/>
          <w:szCs w:val="21"/>
          <w:highlight w:val="none"/>
        </w:rPr>
        <w:tab/>
      </w:r>
      <w:r>
        <w:rPr>
          <w:rFonts w:ascii="宋体" w:hAnsi="宋体" w:cs="宋体"/>
          <w:color w:val="auto"/>
          <w:kern w:val="2"/>
          <w:sz w:val="21"/>
          <w:szCs w:val="21"/>
          <w:highlight w:val="none"/>
        </w:rPr>
        <w:t>已标价工程量清单中有适用于变更工作的子目的，采用该子目的单价。</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15.4.2 已标价工程量清单中无适用于变更工作的子目，但有类似子目的，可在合理范围内参照类似子目的单价，由监理人按第 3.5 款商定或确定变更工作的单价。</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15.4.3 已标价工程量清单中无适用或类似子目的单价，可按照成本加利润的原则，由监理人按第 3.5 款商定或确定变更工作的单价。</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 3.5 款商定或确定变更措施项目的费用。</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15.4.6</w:t>
      </w:r>
      <w:r>
        <w:rPr>
          <w:rFonts w:ascii="宋体" w:hAnsi="宋体"/>
          <w:color w:val="auto"/>
          <w:kern w:val="2"/>
          <w:sz w:val="21"/>
          <w:szCs w:val="21"/>
          <w:highlight w:val="none"/>
        </w:rPr>
        <w:tab/>
      </w:r>
      <w:r>
        <w:rPr>
          <w:rFonts w:ascii="宋体" w:hAnsi="宋体" w:cs="宋体"/>
          <w:color w:val="auto"/>
          <w:kern w:val="2"/>
          <w:sz w:val="21"/>
          <w:szCs w:val="21"/>
          <w:highlight w:val="none"/>
        </w:rPr>
        <w:t>因变更引起价格调整的其他处理方式见合同条款专用部分。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15.5</w:t>
      </w:r>
      <w:r>
        <w:rPr>
          <w:rFonts w:ascii="宋体" w:hAnsi="宋体"/>
          <w:color w:val="auto"/>
          <w:kern w:val="2"/>
          <w:sz w:val="21"/>
          <w:szCs w:val="21"/>
          <w:highlight w:val="none"/>
        </w:rPr>
        <w:tab/>
      </w:r>
      <w:r>
        <w:rPr>
          <w:rFonts w:ascii="宋体" w:hAnsi="宋体" w:cs="宋体"/>
          <w:color w:val="auto"/>
          <w:kern w:val="2"/>
          <w:sz w:val="21"/>
          <w:szCs w:val="21"/>
          <w:highlight w:val="none"/>
        </w:rPr>
        <w:t>承包人的合理化建议</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15.5.1</w:t>
      </w:r>
      <w:r>
        <w:rPr>
          <w:rFonts w:ascii="宋体" w:hAnsi="宋体"/>
          <w:color w:val="auto"/>
          <w:kern w:val="2"/>
          <w:sz w:val="21"/>
          <w:szCs w:val="21"/>
          <w:highlight w:val="none"/>
        </w:rPr>
        <w:tab/>
      </w:r>
      <w:r>
        <w:rPr>
          <w:rFonts w:ascii="宋体" w:hAnsi="宋体" w:cs="宋体"/>
          <w:color w:val="auto"/>
          <w:kern w:val="2"/>
          <w:sz w:val="21"/>
          <w:szCs w:val="21"/>
          <w:highlight w:val="none"/>
        </w:rPr>
        <w:t>在履行合同过程中，承包人对发包人提供的图纸、技术要求以及其他方面提出</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的合理化建议，均应以书面形式提交监理人。合理化建议书的内容应包括建议工作的详细说</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明、进度计划和效益以及与其他工作的协调等，并附必要的设计文件。监理人应与发包人协</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商是否采纳建议。建议被采纳并构成变更的，应按第 15.3.3 项约定向承包人发出变更指示。</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15.5.2</w:t>
      </w:r>
      <w:r>
        <w:rPr>
          <w:rFonts w:ascii="宋体" w:hAnsi="宋体"/>
          <w:color w:val="auto"/>
          <w:kern w:val="2"/>
          <w:sz w:val="21"/>
          <w:szCs w:val="21"/>
          <w:highlight w:val="none"/>
        </w:rPr>
        <w:tab/>
      </w:r>
      <w:r>
        <w:rPr>
          <w:rFonts w:ascii="宋体" w:hAnsi="宋体" w:cs="宋体"/>
          <w:color w:val="auto"/>
          <w:kern w:val="2"/>
          <w:sz w:val="21"/>
          <w:szCs w:val="21"/>
          <w:highlight w:val="none"/>
        </w:rPr>
        <w:t>承包人提出的合理化建议降低了合同价格、缩短了工期或者提高了工程经济效</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益的，发包人可按国家有关规定给予奖励。对承包人提出合理化建议的奖励方法见合同条款</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15.6</w:t>
      </w:r>
      <w:r>
        <w:rPr>
          <w:rFonts w:ascii="宋体" w:hAnsi="宋体"/>
          <w:color w:val="auto"/>
          <w:kern w:val="2"/>
          <w:sz w:val="21"/>
          <w:szCs w:val="21"/>
          <w:highlight w:val="none"/>
        </w:rPr>
        <w:tab/>
      </w:r>
      <w:r>
        <w:rPr>
          <w:rFonts w:ascii="宋体" w:hAnsi="宋体" w:cs="宋体"/>
          <w:color w:val="auto"/>
          <w:kern w:val="2"/>
          <w:sz w:val="21"/>
          <w:szCs w:val="21"/>
          <w:highlight w:val="none"/>
        </w:rPr>
        <w:t>暂列金额</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暂列金额只能按照监理人的指示使用，并对合同价格进行相应调整。</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15.7</w:t>
      </w:r>
      <w:r>
        <w:rPr>
          <w:rFonts w:ascii="宋体" w:hAnsi="宋体"/>
          <w:color w:val="auto"/>
          <w:kern w:val="2"/>
          <w:sz w:val="21"/>
          <w:szCs w:val="21"/>
          <w:highlight w:val="none"/>
        </w:rPr>
        <w:tab/>
      </w:r>
      <w:r>
        <w:rPr>
          <w:rFonts w:ascii="宋体" w:hAnsi="宋体" w:cs="宋体"/>
          <w:color w:val="auto"/>
          <w:kern w:val="2"/>
          <w:sz w:val="21"/>
          <w:szCs w:val="21"/>
          <w:highlight w:val="none"/>
        </w:rPr>
        <w:t>计日工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15.7.1</w:t>
      </w:r>
      <w:r>
        <w:rPr>
          <w:rFonts w:ascii="宋体" w:hAnsi="宋体"/>
          <w:color w:val="auto"/>
          <w:kern w:val="2"/>
          <w:sz w:val="21"/>
          <w:szCs w:val="21"/>
          <w:highlight w:val="none"/>
        </w:rPr>
        <w:tab/>
      </w:r>
      <w:r>
        <w:rPr>
          <w:rFonts w:ascii="宋体" w:hAnsi="宋体" w:cs="宋体"/>
          <w:color w:val="auto"/>
          <w:kern w:val="2"/>
          <w:sz w:val="21"/>
          <w:szCs w:val="21"/>
          <w:highlight w:val="none"/>
        </w:rPr>
        <w:t>发包人认为有必要时，由监理人通知承包人以计日工方式实施变更的零星工</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作。其价款按列入已标价工程量清单中的计日工计价子目及其单价进行计算。</w:t>
      </w:r>
      <w:bookmarkStart w:id="723" w:name="page99"/>
      <w:bookmarkEnd w:id="723"/>
    </w:p>
    <w:p>
      <w:pPr>
        <w:adjustRightInd/>
        <w:ind w:left="410" w:leftChars="171" w:firstLine="42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15.7.2 采用计日工计价的任何一项变更工作，应从暂列金额中支付，承包人应在该项变更的实施过程中，每天提交以下报表和有关凭证报送监理人审批：</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（1）工作名称、内容和数量；</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（2）投入该工作所有人员的姓名、工种、级别和耗用工时；</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（3）投入该工作的材料类别和数量；</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（4）投入该工作的施工设备型号、台数和耗用台时；</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（5）监理人要求提交的其他资料和凭证。</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15.7.3 计日工由承包人汇总后，按第 17.3.2 项的约定列入进度付款申请单，由监理人复核并经发包人同意后列入进度付款。</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15.8</w:t>
      </w:r>
      <w:r>
        <w:rPr>
          <w:rFonts w:ascii="宋体" w:hAnsi="宋体"/>
          <w:color w:val="auto"/>
          <w:kern w:val="2"/>
          <w:sz w:val="21"/>
          <w:szCs w:val="21"/>
          <w:highlight w:val="none"/>
        </w:rPr>
        <w:tab/>
      </w:r>
      <w:r>
        <w:rPr>
          <w:rFonts w:ascii="宋体" w:hAnsi="宋体" w:cs="宋体"/>
          <w:color w:val="auto"/>
          <w:kern w:val="2"/>
          <w:sz w:val="21"/>
          <w:szCs w:val="21"/>
          <w:highlight w:val="none"/>
        </w:rPr>
        <w:t>暂估价</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（1）由承包人作为招标人，依法组织招标工作并接受有管辖权的建设工程招标投标行政监督部门的监督。</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（2）与组织招标工作有关的费用应当被认为已经包括在承包人的签约合同价（投标总报价）中。</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（3）中标金额与工程量清单中所列的暂估价的金额差以及相应的税金等其他费用列入合同价格。</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w:t>
      </w:r>
    </w:p>
    <w:p>
      <w:pPr>
        <w:adjustRightInd/>
        <w:ind w:firstLine="0" w:firstLineChars="0"/>
        <w:jc w:val="both"/>
        <w:textAlignment w:val="auto"/>
        <w:rPr>
          <w:rFonts w:ascii="宋体" w:hAnsi="宋体"/>
          <w:color w:val="auto"/>
          <w:kern w:val="2"/>
          <w:sz w:val="21"/>
          <w:szCs w:val="21"/>
          <w:highlight w:val="none"/>
        </w:rPr>
        <w:sectPr>
          <w:pgSz w:w="11900" w:h="16838"/>
          <w:pgMar w:top="853" w:right="1440" w:bottom="1078" w:left="1440" w:header="0" w:footer="0" w:gutter="0"/>
          <w:cols w:equalWidth="0" w:num="1">
            <w:col w:w="9026"/>
          </w:cols>
        </w:sectPr>
      </w:pPr>
    </w:p>
    <w:p>
      <w:pPr>
        <w:adjustRightInd/>
        <w:ind w:left="360" w:right="346" w:firstLine="0" w:firstLineChars="0"/>
        <w:jc w:val="both"/>
        <w:textAlignment w:val="auto"/>
        <w:rPr>
          <w:rFonts w:ascii="宋体" w:hAnsi="宋体"/>
          <w:color w:val="auto"/>
          <w:kern w:val="2"/>
          <w:sz w:val="21"/>
          <w:szCs w:val="21"/>
          <w:highlight w:val="none"/>
        </w:rPr>
      </w:pPr>
      <w:bookmarkStart w:id="724" w:name="page100"/>
      <w:bookmarkEnd w:id="724"/>
      <w:r>
        <w:rPr>
          <w:rFonts w:ascii="宋体" w:hAnsi="宋体" w:cs="宋体"/>
          <w:color w:val="auto"/>
          <w:kern w:val="2"/>
          <w:sz w:val="21"/>
          <w:szCs w:val="21"/>
          <w:highlight w:val="none"/>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（6）如果发、承包任何一方委派评标代表，评标委员会应当由七人以上单数构成。除发包人或者承包人自愿放弃委派评标代表的权利外，招标人评标代表应当分别由发包人和承包人等额委派。</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（8）设有招标控制价的，承包人应当在招标文件发出前提前 7 天将招标控制价报发包人审核认可，发包人应当在收到承包人报送的招标控制价后 72 小时内给予认可或者提出修改意见。招标控制价的最终审核和决定权属于发包人，未经发包人认可，承包人不得发出招标文件。</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（9）承包人在收到相关招标项目评标委员会提交的评标报告后，应当在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（11）发包人对承包人报送文件进行审批或提出的修改意见应当合理，并符合现行有关法律法规的规定。</w:t>
      </w:r>
    </w:p>
    <w:p>
      <w:pPr>
        <w:adjustRightInd/>
        <w:ind w:left="360" w:right="346" w:firstLine="314"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15.8.2</w:t>
      </w:r>
      <w:r>
        <w:rPr>
          <w:rFonts w:ascii="宋体" w:hAnsi="宋体"/>
          <w:color w:val="auto"/>
          <w:kern w:val="2"/>
          <w:sz w:val="21"/>
          <w:szCs w:val="21"/>
          <w:highlight w:val="none"/>
        </w:rPr>
        <w:tab/>
      </w:r>
      <w:r>
        <w:rPr>
          <w:rFonts w:ascii="宋体" w:hAnsi="宋体" w:cs="宋体"/>
          <w:color w:val="auto"/>
          <w:kern w:val="2"/>
          <w:sz w:val="21"/>
          <w:szCs w:val="21"/>
          <w:highlight w:val="none"/>
        </w:rPr>
        <w:t>发包人在工程量清单中给定暂估价的材料和工程设备不属于依法必须招标的</w:t>
      </w:r>
      <w:bookmarkStart w:id="725" w:name="page101"/>
      <w:bookmarkEnd w:id="725"/>
      <w:r>
        <w:rPr>
          <w:rFonts w:ascii="宋体" w:hAnsi="宋体" w:cs="宋体"/>
          <w:color w:val="auto"/>
          <w:kern w:val="2"/>
          <w:sz w:val="21"/>
          <w:szCs w:val="21"/>
          <w:highlight w:val="none"/>
        </w:rPr>
        <w:t>范围或未达到规定的规模标准的，应由承包人按第 5.1 款的约定提供。经监理人确认的材料、</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工程设备的价格与工程量清单中所列的暂估价的金额差以及相应的税金等其他费用列入合</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同价格。</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15.8.3</w:t>
      </w:r>
      <w:r>
        <w:rPr>
          <w:rFonts w:ascii="宋体" w:hAnsi="宋体"/>
          <w:color w:val="auto"/>
          <w:kern w:val="2"/>
          <w:sz w:val="21"/>
          <w:szCs w:val="21"/>
          <w:highlight w:val="none"/>
        </w:rPr>
        <w:tab/>
      </w:r>
      <w:r>
        <w:rPr>
          <w:rFonts w:ascii="宋体" w:hAnsi="宋体" w:cs="宋体"/>
          <w:color w:val="auto"/>
          <w:kern w:val="2"/>
          <w:sz w:val="21"/>
          <w:szCs w:val="21"/>
          <w:highlight w:val="none"/>
        </w:rPr>
        <w:t>发包人在工程量清单中给定暂估价的专业工程不属于依法必须招标的范围或</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未达到规定的规模标准的，由监理人按照第 15.4 款进行估价，但合同条款专用部分另有约</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定的除外。经估价的专业工程与工程量清单中所列的暂估价的金额差以及相应的税金等其他</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费用列入合同价格。</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16.价格调整</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w:t>
      </w:r>
      <w:r>
        <w:rPr>
          <w:rFonts w:ascii="宋体" w:hAnsi="宋体"/>
          <w:color w:val="auto"/>
          <w:kern w:val="2"/>
          <w:sz w:val="21"/>
          <w:szCs w:val="21"/>
          <w:highlight w:val="none"/>
        </w:rPr>
        <w:tab/>
      </w:r>
      <w:r>
        <w:rPr>
          <w:rFonts w:ascii="宋体" w:hAnsi="宋体" w:cs="宋体"/>
          <w:color w:val="auto"/>
          <w:kern w:val="2"/>
          <w:sz w:val="21"/>
          <w:szCs w:val="21"/>
          <w:highlight w:val="none"/>
        </w:rPr>
        <w:t>物价波动引起的价格调整</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除合同条款专用部分另有约定外，因物价波动引起的价格调整按照本款约定处理。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16.1.1 采用价格指数调整价格差额</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16.1.1.1 价格调整公式</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因人工、材料和设备等价格波动影响合同价格时，根据投标函附录中的价格指数和权</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重表约定的数据，按以下公式计算差额并调整合同价格。</w:t>
      </w:r>
    </w:p>
    <w:p>
      <w:pPr>
        <w:adjustRightInd/>
        <w:spacing w:line="200" w:lineRule="exact"/>
        <w:ind w:firstLine="0" w:firstLineChars="0"/>
        <w:jc w:val="both"/>
        <w:textAlignment w:val="auto"/>
        <w:rPr>
          <w:color w:val="auto"/>
          <w:kern w:val="2"/>
          <w:sz w:val="20"/>
          <w:highlight w:val="none"/>
        </w:rPr>
      </w:pPr>
    </w:p>
    <w:p>
      <w:pPr>
        <w:adjustRightInd/>
        <w:spacing w:line="215" w:lineRule="exact"/>
        <w:ind w:firstLine="0" w:firstLineChars="0"/>
        <w:jc w:val="both"/>
        <w:textAlignment w:val="auto"/>
        <w:rPr>
          <w:color w:val="auto"/>
          <w:kern w:val="2"/>
          <w:sz w:val="20"/>
          <w:highlight w:val="none"/>
        </w:rPr>
      </w:pPr>
    </w:p>
    <w:tbl>
      <w:tblPr>
        <w:tblStyle w:val="47"/>
        <w:tblW w:w="6060" w:type="dxa"/>
        <w:tblInd w:w="1920" w:type="dxa"/>
        <w:tblLayout w:type="fixed"/>
        <w:tblCellMar>
          <w:top w:w="0" w:type="dxa"/>
          <w:left w:w="0" w:type="dxa"/>
          <w:bottom w:w="0" w:type="dxa"/>
          <w:right w:w="0" w:type="dxa"/>
        </w:tblCellMar>
      </w:tblPr>
      <w:tblGrid>
        <w:gridCol w:w="740"/>
        <w:gridCol w:w="120"/>
        <w:gridCol w:w="540"/>
        <w:gridCol w:w="180"/>
        <w:gridCol w:w="180"/>
        <w:gridCol w:w="340"/>
        <w:gridCol w:w="660"/>
        <w:gridCol w:w="340"/>
        <w:gridCol w:w="660"/>
        <w:gridCol w:w="340"/>
        <w:gridCol w:w="1080"/>
        <w:gridCol w:w="360"/>
        <w:gridCol w:w="140"/>
        <w:gridCol w:w="360"/>
        <w:gridCol w:w="20"/>
      </w:tblGrid>
      <w:tr>
        <w:tblPrEx>
          <w:tblLayout w:type="fixed"/>
          <w:tblCellMar>
            <w:top w:w="0" w:type="dxa"/>
            <w:left w:w="0" w:type="dxa"/>
            <w:bottom w:w="0" w:type="dxa"/>
            <w:right w:w="0" w:type="dxa"/>
          </w:tblCellMar>
        </w:tblPrEx>
        <w:trPr>
          <w:trHeight w:val="306" w:hRule="atLeast"/>
        </w:trPr>
        <w:tc>
          <w:tcPr>
            <w:tcW w:w="740" w:type="dxa"/>
            <w:vAlign w:val="bottom"/>
          </w:tcPr>
          <w:p>
            <w:pPr>
              <w:adjustRightInd/>
              <w:ind w:firstLine="0" w:firstLineChars="0"/>
              <w:jc w:val="both"/>
              <w:textAlignment w:val="auto"/>
              <w:rPr>
                <w:color w:val="auto"/>
                <w:kern w:val="2"/>
                <w:szCs w:val="24"/>
                <w:highlight w:val="none"/>
              </w:rPr>
            </w:pPr>
          </w:p>
        </w:tc>
        <w:tc>
          <w:tcPr>
            <w:tcW w:w="120" w:type="dxa"/>
            <w:vAlign w:val="bottom"/>
          </w:tcPr>
          <w:p>
            <w:pPr>
              <w:adjustRightInd/>
              <w:ind w:left="20" w:firstLine="0" w:firstLineChars="0"/>
              <w:jc w:val="both"/>
              <w:textAlignment w:val="auto"/>
              <w:rPr>
                <w:color w:val="auto"/>
                <w:kern w:val="2"/>
                <w:sz w:val="20"/>
                <w:highlight w:val="none"/>
              </w:rPr>
            </w:pPr>
            <w:r>
              <w:rPr>
                <w:rFonts w:ascii="Symbol" w:hAnsi="Symbol" w:eastAsia="Symbol" w:cs="Symbol"/>
                <w:color w:val="auto"/>
                <w:w w:val="82"/>
                <w:kern w:val="2"/>
                <w:sz w:val="25"/>
                <w:szCs w:val="25"/>
                <w:highlight w:val="none"/>
              </w:rPr>
              <w:t></w:t>
            </w:r>
          </w:p>
        </w:tc>
        <w:tc>
          <w:tcPr>
            <w:tcW w:w="540" w:type="dxa"/>
            <w:vAlign w:val="bottom"/>
          </w:tcPr>
          <w:p>
            <w:pPr>
              <w:adjustRightInd/>
              <w:ind w:left="360" w:firstLine="0" w:firstLineChars="0"/>
              <w:jc w:val="both"/>
              <w:textAlignment w:val="auto"/>
              <w:rPr>
                <w:color w:val="auto"/>
                <w:kern w:val="2"/>
                <w:sz w:val="20"/>
                <w:highlight w:val="none"/>
              </w:rPr>
            </w:pPr>
            <w:r>
              <w:rPr>
                <w:rFonts w:ascii="Symbol" w:hAnsi="Symbol" w:eastAsia="Symbol" w:cs="Symbol"/>
                <w:color w:val="auto"/>
                <w:kern w:val="2"/>
                <w:sz w:val="25"/>
                <w:szCs w:val="25"/>
                <w:highlight w:val="none"/>
              </w:rPr>
              <w:t></w:t>
            </w:r>
          </w:p>
        </w:tc>
        <w:tc>
          <w:tcPr>
            <w:tcW w:w="180" w:type="dxa"/>
            <w:vAlign w:val="bottom"/>
          </w:tcPr>
          <w:p>
            <w:pPr>
              <w:adjustRightInd/>
              <w:ind w:firstLine="0" w:firstLineChars="0"/>
              <w:jc w:val="both"/>
              <w:textAlignment w:val="auto"/>
              <w:rPr>
                <w:color w:val="auto"/>
                <w:kern w:val="2"/>
                <w:szCs w:val="24"/>
                <w:highlight w:val="none"/>
              </w:rPr>
            </w:pPr>
          </w:p>
        </w:tc>
        <w:tc>
          <w:tcPr>
            <w:tcW w:w="18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ind w:left="4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66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ind w:left="4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66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ind w:left="4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1080" w:type="dxa"/>
            <w:vAlign w:val="bottom"/>
          </w:tcPr>
          <w:p>
            <w:pPr>
              <w:adjustRightInd/>
              <w:ind w:firstLine="0" w:firstLineChars="0"/>
              <w:jc w:val="both"/>
              <w:textAlignment w:val="auto"/>
              <w:rPr>
                <w:color w:val="auto"/>
                <w:kern w:val="2"/>
                <w:szCs w:val="24"/>
                <w:highlight w:val="none"/>
              </w:rPr>
            </w:pPr>
          </w:p>
        </w:tc>
        <w:tc>
          <w:tcPr>
            <w:tcW w:w="500" w:type="dxa"/>
            <w:gridSpan w:val="2"/>
            <w:vAlign w:val="bottom"/>
          </w:tcPr>
          <w:p>
            <w:pPr>
              <w:adjustRightInd/>
              <w:ind w:firstLine="0" w:firstLineChars="0"/>
              <w:jc w:val="right"/>
              <w:textAlignment w:val="auto"/>
              <w:rPr>
                <w:color w:val="auto"/>
                <w:kern w:val="2"/>
                <w:sz w:val="20"/>
                <w:highlight w:val="none"/>
              </w:rPr>
            </w:pPr>
            <w:r>
              <w:rPr>
                <w:rFonts w:eastAsia="Times New Roman"/>
                <w:i/>
                <w:iCs/>
                <w:color w:val="auto"/>
                <w:kern w:val="2"/>
                <w:sz w:val="25"/>
                <w:szCs w:val="25"/>
                <w:highlight w:val="none"/>
              </w:rPr>
              <w:t xml:space="preserve">F  </w:t>
            </w:r>
            <w:r>
              <w:rPr>
                <w:rFonts w:ascii="Symbol" w:hAnsi="Symbol" w:eastAsia="Symbol" w:cs="Symbol"/>
                <w:color w:val="auto"/>
                <w:kern w:val="2"/>
                <w:sz w:val="25"/>
                <w:szCs w:val="25"/>
                <w:highlight w:val="none"/>
              </w:rPr>
              <w:t></w:t>
            </w:r>
          </w:p>
        </w:tc>
        <w:tc>
          <w:tcPr>
            <w:tcW w:w="360" w:type="dxa"/>
            <w:vAlign w:val="bottom"/>
          </w:tcPr>
          <w:p>
            <w:pPr>
              <w:adjustRightInd/>
              <w:ind w:left="260" w:firstLine="0" w:firstLineChars="0"/>
              <w:jc w:val="both"/>
              <w:textAlignment w:val="auto"/>
              <w:rPr>
                <w:color w:val="auto"/>
                <w:kern w:val="2"/>
                <w:sz w:val="20"/>
                <w:highlight w:val="none"/>
              </w:rPr>
            </w:pPr>
            <w:r>
              <w:rPr>
                <w:rFonts w:ascii="Symbol" w:hAnsi="Symbol" w:eastAsia="Symbol" w:cs="Symbol"/>
                <w:color w:val="auto"/>
                <w:w w:val="82"/>
                <w:kern w:val="2"/>
                <w:sz w:val="25"/>
                <w:szCs w:val="25"/>
                <w:highlight w:val="none"/>
              </w:rPr>
              <w:t></w:t>
            </w:r>
          </w:p>
        </w:tc>
        <w:tc>
          <w:tcPr>
            <w:tcW w:w="20" w:type="dxa"/>
            <w:vAlign w:val="bottom"/>
          </w:tcPr>
          <w:p>
            <w:pPr>
              <w:adjustRightInd/>
              <w:ind w:firstLine="0" w:firstLineChars="0"/>
              <w:jc w:val="both"/>
              <w:textAlignment w:val="auto"/>
              <w:rPr>
                <w:color w:val="auto"/>
                <w:kern w:val="2"/>
                <w:sz w:val="1"/>
                <w:szCs w:val="1"/>
                <w:highlight w:val="none"/>
              </w:rPr>
            </w:pPr>
          </w:p>
        </w:tc>
      </w:tr>
      <w:tr>
        <w:tblPrEx>
          <w:tblLayout w:type="fixed"/>
          <w:tblCellMar>
            <w:top w:w="0" w:type="dxa"/>
            <w:left w:w="0" w:type="dxa"/>
            <w:bottom w:w="0" w:type="dxa"/>
            <w:right w:w="0" w:type="dxa"/>
          </w:tblCellMar>
        </w:tblPrEx>
        <w:trPr>
          <w:trHeight w:val="92" w:hRule="atLeast"/>
        </w:trPr>
        <w:tc>
          <w:tcPr>
            <w:tcW w:w="740" w:type="dxa"/>
            <w:vMerge w:val="restart"/>
            <w:vAlign w:val="bottom"/>
          </w:tcPr>
          <w:p>
            <w:pPr>
              <w:adjustRightInd/>
              <w:spacing w:line="159" w:lineRule="exact"/>
              <w:ind w:firstLine="0" w:firstLineChars="0"/>
              <w:jc w:val="right"/>
              <w:textAlignment w:val="auto"/>
              <w:rPr>
                <w:color w:val="auto"/>
                <w:kern w:val="2"/>
                <w:sz w:val="20"/>
                <w:highlight w:val="none"/>
              </w:rPr>
            </w:pP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P </w:t>
            </w: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 P</w:t>
            </w:r>
          </w:p>
        </w:tc>
        <w:tc>
          <w:tcPr>
            <w:tcW w:w="120" w:type="dxa"/>
            <w:vMerge w:val="restart"/>
            <w:vAlign w:val="bottom"/>
          </w:tcPr>
          <w:p>
            <w:pPr>
              <w:adjustRightInd/>
              <w:spacing w:line="302" w:lineRule="exact"/>
              <w:ind w:left="20" w:firstLine="0" w:firstLineChars="0"/>
              <w:jc w:val="both"/>
              <w:textAlignment w:val="auto"/>
              <w:rPr>
                <w:color w:val="auto"/>
                <w:kern w:val="2"/>
                <w:sz w:val="20"/>
                <w:highlight w:val="none"/>
              </w:rPr>
            </w:pPr>
            <w:r>
              <w:rPr>
                <w:rFonts w:ascii="Symbol" w:hAnsi="Symbol" w:eastAsia="Symbol" w:cs="Symbol"/>
                <w:color w:val="auto"/>
                <w:w w:val="82"/>
                <w:kern w:val="2"/>
                <w:sz w:val="25"/>
                <w:szCs w:val="25"/>
                <w:highlight w:val="none"/>
              </w:rPr>
              <w:t></w:t>
            </w:r>
          </w:p>
        </w:tc>
        <w:tc>
          <w:tcPr>
            <w:tcW w:w="720" w:type="dxa"/>
            <w:gridSpan w:val="2"/>
            <w:vMerge w:val="restart"/>
            <w:vAlign w:val="bottom"/>
          </w:tcPr>
          <w:p>
            <w:pPr>
              <w:adjustRightInd/>
              <w:spacing w:line="159" w:lineRule="exact"/>
              <w:ind w:left="20" w:firstLine="0" w:firstLineChars="0"/>
              <w:jc w:val="both"/>
              <w:textAlignment w:val="auto"/>
              <w:rPr>
                <w:color w:val="auto"/>
                <w:kern w:val="2"/>
                <w:sz w:val="20"/>
                <w:highlight w:val="none"/>
              </w:rPr>
            </w:pPr>
            <w:r>
              <w:rPr>
                <w:rFonts w:eastAsia="Times New Roman"/>
                <w:i/>
                <w:iCs/>
                <w:color w:val="auto"/>
                <w:kern w:val="2"/>
                <w:sz w:val="17"/>
                <w:szCs w:val="17"/>
                <w:highlight w:val="none"/>
              </w:rPr>
              <w:t xml:space="preserve">A </w:t>
            </w: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 B</w:t>
            </w:r>
          </w:p>
        </w:tc>
        <w:tc>
          <w:tcPr>
            <w:tcW w:w="180" w:type="dxa"/>
            <w:vMerge w:val="restart"/>
            <w:vAlign w:val="bottom"/>
          </w:tcPr>
          <w:p>
            <w:pPr>
              <w:adjustRightInd/>
              <w:spacing w:line="159" w:lineRule="exact"/>
              <w:ind w:left="20" w:firstLine="0" w:firstLineChars="0"/>
              <w:jc w:val="both"/>
              <w:textAlignment w:val="auto"/>
              <w:rPr>
                <w:color w:val="auto"/>
                <w:kern w:val="2"/>
                <w:sz w:val="20"/>
                <w:highlight w:val="none"/>
              </w:rPr>
            </w:pPr>
            <w:r>
              <w:rPr>
                <w:rFonts w:ascii="Symbol" w:hAnsi="Symbol" w:eastAsia="Symbol" w:cs="Symbol"/>
                <w:color w:val="auto"/>
                <w:kern w:val="2"/>
                <w:sz w:val="17"/>
                <w:szCs w:val="17"/>
                <w:highlight w:val="none"/>
              </w:rPr>
              <w:t></w:t>
            </w:r>
          </w:p>
        </w:tc>
        <w:tc>
          <w:tcPr>
            <w:tcW w:w="340" w:type="dxa"/>
            <w:tcBorders>
              <w:bottom w:val="single" w:color="auto" w:sz="8" w:space="0"/>
            </w:tcBorders>
            <w:vAlign w:val="bottom"/>
          </w:tcPr>
          <w:p>
            <w:pPr>
              <w:adjustRightInd/>
              <w:spacing w:line="73" w:lineRule="exact"/>
              <w:ind w:left="180" w:firstLine="0" w:firstLineChars="0"/>
              <w:jc w:val="both"/>
              <w:textAlignment w:val="auto"/>
              <w:rPr>
                <w:color w:val="auto"/>
                <w:kern w:val="2"/>
                <w:sz w:val="20"/>
                <w:highlight w:val="none"/>
              </w:rPr>
            </w:pPr>
            <w:r>
              <w:rPr>
                <w:rFonts w:eastAsia="Times New Roman"/>
                <w:i/>
                <w:iCs/>
                <w:color w:val="auto"/>
                <w:kern w:val="2"/>
                <w:sz w:val="8"/>
                <w:szCs w:val="8"/>
                <w:highlight w:val="none"/>
              </w:rPr>
              <w:t>t</w:t>
            </w:r>
            <w:r>
              <w:rPr>
                <w:rFonts w:eastAsia="Times New Roman"/>
                <w:color w:val="auto"/>
                <w:kern w:val="2"/>
                <w:sz w:val="8"/>
                <w:szCs w:val="8"/>
                <w:highlight w:val="none"/>
              </w:rPr>
              <w:t>1</w:t>
            </w:r>
          </w:p>
        </w:tc>
        <w:tc>
          <w:tcPr>
            <w:tcW w:w="660" w:type="dxa"/>
            <w:vMerge w:val="restart"/>
            <w:vAlign w:val="bottom"/>
          </w:tcPr>
          <w:p>
            <w:pPr>
              <w:adjustRightInd/>
              <w:spacing w:line="159" w:lineRule="exact"/>
              <w:ind w:firstLine="0" w:firstLineChars="0"/>
              <w:jc w:val="right"/>
              <w:textAlignment w:val="auto"/>
              <w:rPr>
                <w:color w:val="auto"/>
                <w:kern w:val="2"/>
                <w:sz w:val="20"/>
                <w:highlight w:val="none"/>
              </w:rPr>
            </w:pP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 B </w:t>
            </w:r>
            <w:r>
              <w:rPr>
                <w:rFonts w:ascii="Symbol" w:hAnsi="Symbol" w:eastAsia="Symbol" w:cs="Symbol"/>
                <w:color w:val="auto"/>
                <w:kern w:val="2"/>
                <w:sz w:val="17"/>
                <w:szCs w:val="17"/>
                <w:highlight w:val="none"/>
              </w:rPr>
              <w:t></w:t>
            </w:r>
          </w:p>
        </w:tc>
        <w:tc>
          <w:tcPr>
            <w:tcW w:w="340" w:type="dxa"/>
            <w:tcBorders>
              <w:bottom w:val="single" w:color="auto" w:sz="8" w:space="0"/>
            </w:tcBorders>
            <w:vAlign w:val="bottom"/>
          </w:tcPr>
          <w:p>
            <w:pPr>
              <w:adjustRightInd/>
              <w:spacing w:line="73" w:lineRule="exact"/>
              <w:ind w:left="160" w:firstLine="0" w:firstLineChars="0"/>
              <w:jc w:val="both"/>
              <w:textAlignment w:val="auto"/>
              <w:rPr>
                <w:color w:val="auto"/>
                <w:kern w:val="2"/>
                <w:sz w:val="20"/>
                <w:highlight w:val="none"/>
              </w:rPr>
            </w:pPr>
            <w:r>
              <w:rPr>
                <w:rFonts w:eastAsia="Times New Roman"/>
                <w:i/>
                <w:iCs/>
                <w:color w:val="auto"/>
                <w:kern w:val="2"/>
                <w:sz w:val="8"/>
                <w:szCs w:val="8"/>
                <w:highlight w:val="none"/>
              </w:rPr>
              <w:t xml:space="preserve">t </w:t>
            </w:r>
            <w:r>
              <w:rPr>
                <w:rFonts w:eastAsia="Times New Roman"/>
                <w:color w:val="auto"/>
                <w:kern w:val="2"/>
                <w:sz w:val="8"/>
                <w:szCs w:val="8"/>
                <w:highlight w:val="none"/>
              </w:rPr>
              <w:t>2</w:t>
            </w:r>
          </w:p>
        </w:tc>
        <w:tc>
          <w:tcPr>
            <w:tcW w:w="660" w:type="dxa"/>
            <w:vMerge w:val="restart"/>
            <w:vAlign w:val="bottom"/>
          </w:tcPr>
          <w:p>
            <w:pPr>
              <w:adjustRightInd/>
              <w:spacing w:line="159" w:lineRule="exact"/>
              <w:ind w:firstLine="0" w:firstLineChars="0"/>
              <w:jc w:val="right"/>
              <w:textAlignment w:val="auto"/>
              <w:rPr>
                <w:color w:val="auto"/>
                <w:kern w:val="2"/>
                <w:sz w:val="20"/>
                <w:highlight w:val="none"/>
              </w:rPr>
            </w:pP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 B </w:t>
            </w:r>
            <w:r>
              <w:rPr>
                <w:rFonts w:ascii="Symbol" w:hAnsi="Symbol" w:eastAsia="Symbol" w:cs="Symbol"/>
                <w:color w:val="auto"/>
                <w:kern w:val="2"/>
                <w:sz w:val="17"/>
                <w:szCs w:val="17"/>
                <w:highlight w:val="none"/>
              </w:rPr>
              <w:t></w:t>
            </w:r>
          </w:p>
        </w:tc>
        <w:tc>
          <w:tcPr>
            <w:tcW w:w="340" w:type="dxa"/>
            <w:tcBorders>
              <w:bottom w:val="single" w:color="auto" w:sz="8" w:space="0"/>
            </w:tcBorders>
            <w:vAlign w:val="bottom"/>
          </w:tcPr>
          <w:p>
            <w:pPr>
              <w:adjustRightInd/>
              <w:spacing w:line="73" w:lineRule="exact"/>
              <w:ind w:left="160" w:firstLine="0" w:firstLineChars="0"/>
              <w:jc w:val="both"/>
              <w:textAlignment w:val="auto"/>
              <w:rPr>
                <w:color w:val="auto"/>
                <w:kern w:val="2"/>
                <w:sz w:val="20"/>
                <w:highlight w:val="none"/>
              </w:rPr>
            </w:pPr>
            <w:r>
              <w:rPr>
                <w:rFonts w:eastAsia="Times New Roman"/>
                <w:i/>
                <w:iCs/>
                <w:color w:val="auto"/>
                <w:kern w:val="2"/>
                <w:sz w:val="8"/>
                <w:szCs w:val="8"/>
                <w:highlight w:val="none"/>
              </w:rPr>
              <w:t xml:space="preserve">t </w:t>
            </w:r>
            <w:r>
              <w:rPr>
                <w:rFonts w:eastAsia="Times New Roman"/>
                <w:color w:val="auto"/>
                <w:kern w:val="2"/>
                <w:sz w:val="8"/>
                <w:szCs w:val="8"/>
                <w:highlight w:val="none"/>
              </w:rPr>
              <w:t>3</w:t>
            </w:r>
          </w:p>
        </w:tc>
        <w:tc>
          <w:tcPr>
            <w:tcW w:w="1080" w:type="dxa"/>
            <w:vMerge w:val="restart"/>
            <w:vAlign w:val="bottom"/>
          </w:tcPr>
          <w:p>
            <w:pPr>
              <w:adjustRightInd/>
              <w:spacing w:line="159" w:lineRule="exact"/>
              <w:ind w:left="40" w:firstLine="0" w:firstLineChars="0"/>
              <w:jc w:val="both"/>
              <w:textAlignment w:val="auto"/>
              <w:rPr>
                <w:color w:val="auto"/>
                <w:kern w:val="2"/>
                <w:sz w:val="20"/>
                <w:highlight w:val="none"/>
              </w:rPr>
            </w:pPr>
            <w:r>
              <w:rPr>
                <w:rFonts w:ascii="Symbol" w:hAnsi="Symbol" w:eastAsia="Symbol" w:cs="Symbol"/>
                <w:color w:val="auto"/>
                <w:kern w:val="2"/>
                <w:sz w:val="17"/>
                <w:szCs w:val="17"/>
                <w:highlight w:val="none"/>
              </w:rPr>
              <w:t></w:t>
            </w:r>
            <w:r>
              <w:rPr>
                <w:rFonts w:eastAsia="Times New Roman"/>
                <w:i/>
                <w:iCs/>
                <w:color w:val="auto"/>
                <w:kern w:val="2"/>
                <w:sz w:val="17"/>
                <w:szCs w:val="17"/>
                <w:highlight w:val="none"/>
              </w:rPr>
              <w:t xml:space="preserve"> B </w:t>
            </w:r>
            <w:r>
              <w:rPr>
                <w:rFonts w:ascii="Symbol" w:hAnsi="Symbol" w:eastAsia="Symbol" w:cs="Symbol"/>
                <w:color w:val="auto"/>
                <w:kern w:val="2"/>
                <w:sz w:val="17"/>
                <w:szCs w:val="17"/>
                <w:highlight w:val="none"/>
              </w:rPr>
              <w:t></w:t>
            </w:r>
          </w:p>
        </w:tc>
        <w:tc>
          <w:tcPr>
            <w:tcW w:w="360" w:type="dxa"/>
            <w:tcBorders>
              <w:bottom w:val="single" w:color="auto" w:sz="8" w:space="0"/>
            </w:tcBorders>
            <w:vAlign w:val="bottom"/>
          </w:tcPr>
          <w:p>
            <w:pPr>
              <w:adjustRightInd/>
              <w:spacing w:line="73" w:lineRule="exact"/>
              <w:ind w:left="180" w:firstLine="0" w:firstLineChars="0"/>
              <w:jc w:val="both"/>
              <w:textAlignment w:val="auto"/>
              <w:rPr>
                <w:color w:val="auto"/>
                <w:kern w:val="2"/>
                <w:sz w:val="20"/>
                <w:highlight w:val="none"/>
              </w:rPr>
            </w:pPr>
            <w:r>
              <w:rPr>
                <w:rFonts w:eastAsia="Times New Roman"/>
                <w:i/>
                <w:iCs/>
                <w:color w:val="auto"/>
                <w:kern w:val="2"/>
                <w:sz w:val="8"/>
                <w:szCs w:val="8"/>
                <w:highlight w:val="none"/>
              </w:rPr>
              <w:t>tn</w:t>
            </w:r>
          </w:p>
        </w:tc>
        <w:tc>
          <w:tcPr>
            <w:tcW w:w="140" w:type="dxa"/>
            <w:vMerge w:val="restart"/>
            <w:vAlign w:val="bottom"/>
          </w:tcPr>
          <w:p>
            <w:pPr>
              <w:adjustRightInd/>
              <w:spacing w:line="159" w:lineRule="exact"/>
              <w:ind w:firstLine="0" w:firstLineChars="0"/>
              <w:jc w:val="right"/>
              <w:textAlignment w:val="auto"/>
              <w:rPr>
                <w:color w:val="auto"/>
                <w:kern w:val="2"/>
                <w:sz w:val="20"/>
                <w:highlight w:val="none"/>
              </w:rPr>
            </w:pPr>
            <w:r>
              <w:rPr>
                <w:rFonts w:ascii="Symbol" w:hAnsi="Symbol" w:eastAsia="Symbol" w:cs="Symbol"/>
                <w:color w:val="auto"/>
                <w:kern w:val="2"/>
                <w:sz w:val="17"/>
                <w:szCs w:val="17"/>
                <w:highlight w:val="none"/>
              </w:rPr>
              <w:t></w:t>
            </w:r>
          </w:p>
        </w:tc>
        <w:tc>
          <w:tcPr>
            <w:tcW w:w="360" w:type="dxa"/>
            <w:vMerge w:val="restart"/>
            <w:vAlign w:val="bottom"/>
          </w:tcPr>
          <w:p>
            <w:pPr>
              <w:adjustRightInd/>
              <w:spacing w:line="159" w:lineRule="exact"/>
              <w:ind w:left="20" w:firstLine="0" w:firstLineChars="0"/>
              <w:jc w:val="both"/>
              <w:textAlignment w:val="auto"/>
              <w:rPr>
                <w:color w:val="auto"/>
                <w:kern w:val="2"/>
                <w:sz w:val="20"/>
                <w:highlight w:val="none"/>
              </w:rPr>
            </w:pPr>
            <w:r>
              <w:rPr>
                <w:rFonts w:ascii="Symbol" w:hAnsi="Symbol" w:eastAsia="Symbol" w:cs="Symbol"/>
                <w:color w:val="auto"/>
                <w:kern w:val="2"/>
                <w:sz w:val="17"/>
                <w:szCs w:val="17"/>
                <w:highlight w:val="none"/>
              </w:rPr>
              <w:t></w:t>
            </w:r>
            <w:r>
              <w:rPr>
                <w:rFonts w:eastAsia="Times New Roman"/>
                <w:color w:val="auto"/>
                <w:kern w:val="2"/>
                <w:sz w:val="17"/>
                <w:szCs w:val="17"/>
                <w:highlight w:val="none"/>
              </w:rPr>
              <w:t>1</w:t>
            </w:r>
          </w:p>
        </w:tc>
        <w:tc>
          <w:tcPr>
            <w:tcW w:w="20" w:type="dxa"/>
            <w:vAlign w:val="bottom"/>
          </w:tcPr>
          <w:p>
            <w:pPr>
              <w:adjustRightInd/>
              <w:ind w:firstLine="0" w:firstLineChars="0"/>
              <w:jc w:val="both"/>
              <w:textAlignment w:val="auto"/>
              <w:rPr>
                <w:color w:val="auto"/>
                <w:kern w:val="2"/>
                <w:sz w:val="1"/>
                <w:szCs w:val="1"/>
                <w:highlight w:val="none"/>
              </w:rPr>
            </w:pPr>
          </w:p>
        </w:tc>
      </w:tr>
      <w:tr>
        <w:tblPrEx>
          <w:tblLayout w:type="fixed"/>
          <w:tblCellMar>
            <w:top w:w="0" w:type="dxa"/>
            <w:left w:w="0" w:type="dxa"/>
            <w:bottom w:w="0" w:type="dxa"/>
            <w:right w:w="0" w:type="dxa"/>
          </w:tblCellMar>
        </w:tblPrEx>
        <w:trPr>
          <w:trHeight w:val="47" w:hRule="atLeast"/>
        </w:trPr>
        <w:tc>
          <w:tcPr>
            <w:tcW w:w="740" w:type="dxa"/>
            <w:vMerge w:val="continue"/>
            <w:vAlign w:val="bottom"/>
          </w:tcPr>
          <w:p>
            <w:pPr>
              <w:adjustRightInd/>
              <w:ind w:firstLine="0" w:firstLineChars="0"/>
              <w:jc w:val="both"/>
              <w:textAlignment w:val="auto"/>
              <w:rPr>
                <w:color w:val="auto"/>
                <w:kern w:val="2"/>
                <w:sz w:val="4"/>
                <w:szCs w:val="4"/>
                <w:highlight w:val="none"/>
              </w:rPr>
            </w:pPr>
          </w:p>
        </w:tc>
        <w:tc>
          <w:tcPr>
            <w:tcW w:w="120" w:type="dxa"/>
            <w:vMerge w:val="continue"/>
            <w:vAlign w:val="bottom"/>
          </w:tcPr>
          <w:p>
            <w:pPr>
              <w:adjustRightInd/>
              <w:ind w:firstLine="0" w:firstLineChars="0"/>
              <w:jc w:val="both"/>
              <w:textAlignment w:val="auto"/>
              <w:rPr>
                <w:color w:val="auto"/>
                <w:kern w:val="2"/>
                <w:sz w:val="4"/>
                <w:szCs w:val="4"/>
                <w:highlight w:val="none"/>
              </w:rPr>
            </w:pPr>
          </w:p>
        </w:tc>
        <w:tc>
          <w:tcPr>
            <w:tcW w:w="720" w:type="dxa"/>
            <w:gridSpan w:val="2"/>
            <w:vMerge w:val="continue"/>
            <w:vAlign w:val="bottom"/>
          </w:tcPr>
          <w:p>
            <w:pPr>
              <w:adjustRightInd/>
              <w:ind w:firstLine="0" w:firstLineChars="0"/>
              <w:jc w:val="both"/>
              <w:textAlignment w:val="auto"/>
              <w:rPr>
                <w:color w:val="auto"/>
                <w:kern w:val="2"/>
                <w:sz w:val="4"/>
                <w:szCs w:val="4"/>
                <w:highlight w:val="none"/>
              </w:rPr>
            </w:pPr>
          </w:p>
        </w:tc>
        <w:tc>
          <w:tcPr>
            <w:tcW w:w="180" w:type="dxa"/>
            <w:vMerge w:val="continue"/>
            <w:vAlign w:val="bottom"/>
          </w:tcPr>
          <w:p>
            <w:pPr>
              <w:adjustRightInd/>
              <w:ind w:firstLine="0" w:firstLineChars="0"/>
              <w:jc w:val="both"/>
              <w:textAlignment w:val="auto"/>
              <w:rPr>
                <w:color w:val="auto"/>
                <w:kern w:val="2"/>
                <w:sz w:val="4"/>
                <w:szCs w:val="4"/>
                <w:highlight w:val="none"/>
              </w:rPr>
            </w:pPr>
          </w:p>
        </w:tc>
        <w:tc>
          <w:tcPr>
            <w:tcW w:w="340" w:type="dxa"/>
            <w:vMerge w:val="restart"/>
            <w:vAlign w:val="bottom"/>
          </w:tcPr>
          <w:p>
            <w:pPr>
              <w:adjustRightInd/>
              <w:spacing w:line="240" w:lineRule="exact"/>
              <w:ind w:left="4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660" w:type="dxa"/>
            <w:vMerge w:val="continue"/>
            <w:vAlign w:val="bottom"/>
          </w:tcPr>
          <w:p>
            <w:pPr>
              <w:adjustRightInd/>
              <w:ind w:firstLine="0" w:firstLineChars="0"/>
              <w:jc w:val="both"/>
              <w:textAlignment w:val="auto"/>
              <w:rPr>
                <w:color w:val="auto"/>
                <w:kern w:val="2"/>
                <w:sz w:val="4"/>
                <w:szCs w:val="4"/>
                <w:highlight w:val="none"/>
              </w:rPr>
            </w:pPr>
          </w:p>
        </w:tc>
        <w:tc>
          <w:tcPr>
            <w:tcW w:w="340" w:type="dxa"/>
            <w:vMerge w:val="restart"/>
            <w:vAlign w:val="bottom"/>
          </w:tcPr>
          <w:p>
            <w:pPr>
              <w:adjustRightInd/>
              <w:spacing w:line="240" w:lineRule="exact"/>
              <w:ind w:left="2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660" w:type="dxa"/>
            <w:vMerge w:val="continue"/>
            <w:vAlign w:val="bottom"/>
          </w:tcPr>
          <w:p>
            <w:pPr>
              <w:adjustRightInd/>
              <w:ind w:firstLine="0" w:firstLineChars="0"/>
              <w:jc w:val="both"/>
              <w:textAlignment w:val="auto"/>
              <w:rPr>
                <w:color w:val="auto"/>
                <w:kern w:val="2"/>
                <w:sz w:val="4"/>
                <w:szCs w:val="4"/>
                <w:highlight w:val="none"/>
              </w:rPr>
            </w:pPr>
          </w:p>
        </w:tc>
        <w:tc>
          <w:tcPr>
            <w:tcW w:w="340" w:type="dxa"/>
            <w:vMerge w:val="restart"/>
            <w:vAlign w:val="bottom"/>
          </w:tcPr>
          <w:p>
            <w:pPr>
              <w:adjustRightInd/>
              <w:spacing w:line="240" w:lineRule="exact"/>
              <w:ind w:left="20" w:firstLine="0" w:firstLineChars="0"/>
              <w:jc w:val="both"/>
              <w:textAlignment w:val="auto"/>
              <w:rPr>
                <w:color w:val="auto"/>
                <w:kern w:val="2"/>
                <w:sz w:val="20"/>
                <w:highlight w:val="none"/>
              </w:rPr>
            </w:pPr>
            <w:r>
              <w:rPr>
                <w:rFonts w:eastAsia="Times New Roman"/>
                <w:i/>
                <w:iCs/>
                <w:color w:val="auto"/>
                <w:kern w:val="2"/>
                <w:sz w:val="25"/>
                <w:szCs w:val="25"/>
                <w:highlight w:val="none"/>
              </w:rPr>
              <w:t>F</w:t>
            </w:r>
          </w:p>
        </w:tc>
        <w:tc>
          <w:tcPr>
            <w:tcW w:w="1080" w:type="dxa"/>
            <w:vMerge w:val="continue"/>
            <w:vAlign w:val="bottom"/>
          </w:tcPr>
          <w:p>
            <w:pPr>
              <w:adjustRightInd/>
              <w:ind w:firstLine="0" w:firstLineChars="0"/>
              <w:jc w:val="both"/>
              <w:textAlignment w:val="auto"/>
              <w:rPr>
                <w:color w:val="auto"/>
                <w:kern w:val="2"/>
                <w:sz w:val="4"/>
                <w:szCs w:val="4"/>
                <w:highlight w:val="none"/>
              </w:rPr>
            </w:pPr>
          </w:p>
        </w:tc>
        <w:tc>
          <w:tcPr>
            <w:tcW w:w="360" w:type="dxa"/>
            <w:vAlign w:val="bottom"/>
          </w:tcPr>
          <w:p>
            <w:pPr>
              <w:adjustRightInd/>
              <w:ind w:firstLine="0" w:firstLineChars="0"/>
              <w:jc w:val="both"/>
              <w:textAlignment w:val="auto"/>
              <w:rPr>
                <w:color w:val="auto"/>
                <w:kern w:val="2"/>
                <w:sz w:val="4"/>
                <w:szCs w:val="4"/>
                <w:highlight w:val="none"/>
              </w:rPr>
            </w:pPr>
          </w:p>
        </w:tc>
        <w:tc>
          <w:tcPr>
            <w:tcW w:w="140" w:type="dxa"/>
            <w:vMerge w:val="continue"/>
            <w:vAlign w:val="bottom"/>
          </w:tcPr>
          <w:p>
            <w:pPr>
              <w:adjustRightInd/>
              <w:ind w:firstLine="0" w:firstLineChars="0"/>
              <w:jc w:val="both"/>
              <w:textAlignment w:val="auto"/>
              <w:rPr>
                <w:color w:val="auto"/>
                <w:kern w:val="2"/>
                <w:sz w:val="4"/>
                <w:szCs w:val="4"/>
                <w:highlight w:val="none"/>
              </w:rPr>
            </w:pPr>
          </w:p>
        </w:tc>
        <w:tc>
          <w:tcPr>
            <w:tcW w:w="360" w:type="dxa"/>
            <w:vMerge w:val="continue"/>
            <w:vAlign w:val="bottom"/>
          </w:tcPr>
          <w:p>
            <w:pPr>
              <w:adjustRightInd/>
              <w:ind w:firstLine="0" w:firstLineChars="0"/>
              <w:jc w:val="both"/>
              <w:textAlignment w:val="auto"/>
              <w:rPr>
                <w:color w:val="auto"/>
                <w:kern w:val="2"/>
                <w:sz w:val="4"/>
                <w:szCs w:val="4"/>
                <w:highlight w:val="none"/>
              </w:rPr>
            </w:pPr>
          </w:p>
        </w:tc>
        <w:tc>
          <w:tcPr>
            <w:tcW w:w="20" w:type="dxa"/>
            <w:vAlign w:val="bottom"/>
          </w:tcPr>
          <w:p>
            <w:pPr>
              <w:adjustRightInd/>
              <w:ind w:firstLine="0" w:firstLineChars="0"/>
              <w:jc w:val="both"/>
              <w:textAlignment w:val="auto"/>
              <w:rPr>
                <w:color w:val="auto"/>
                <w:kern w:val="2"/>
                <w:sz w:val="1"/>
                <w:szCs w:val="1"/>
                <w:highlight w:val="none"/>
              </w:rPr>
            </w:pPr>
          </w:p>
        </w:tc>
      </w:tr>
      <w:tr>
        <w:tblPrEx>
          <w:tblLayout w:type="fixed"/>
          <w:tblCellMar>
            <w:top w:w="0" w:type="dxa"/>
            <w:left w:w="0" w:type="dxa"/>
            <w:bottom w:w="0" w:type="dxa"/>
            <w:right w:w="0" w:type="dxa"/>
          </w:tblCellMar>
        </w:tblPrEx>
        <w:trPr>
          <w:trHeight w:val="193" w:hRule="atLeast"/>
        </w:trPr>
        <w:tc>
          <w:tcPr>
            <w:tcW w:w="740" w:type="dxa"/>
            <w:vAlign w:val="bottom"/>
          </w:tcPr>
          <w:p>
            <w:pPr>
              <w:adjustRightInd/>
              <w:spacing w:line="159" w:lineRule="exact"/>
              <w:ind w:firstLine="0" w:firstLineChars="0"/>
              <w:jc w:val="right"/>
              <w:textAlignment w:val="auto"/>
              <w:rPr>
                <w:color w:val="auto"/>
                <w:kern w:val="2"/>
                <w:sz w:val="20"/>
                <w:highlight w:val="none"/>
              </w:rPr>
            </w:pPr>
            <w:r>
              <w:rPr>
                <w:rFonts w:eastAsia="Times New Roman"/>
                <w:color w:val="auto"/>
                <w:kern w:val="2"/>
                <w:sz w:val="14"/>
                <w:szCs w:val="14"/>
                <w:highlight w:val="none"/>
              </w:rPr>
              <w:t>0</w:t>
            </w:r>
          </w:p>
        </w:tc>
        <w:tc>
          <w:tcPr>
            <w:tcW w:w="120" w:type="dxa"/>
            <w:vMerge w:val="continue"/>
            <w:vAlign w:val="bottom"/>
          </w:tcPr>
          <w:p>
            <w:pPr>
              <w:adjustRightInd/>
              <w:ind w:firstLine="0" w:firstLineChars="0"/>
              <w:jc w:val="both"/>
              <w:textAlignment w:val="auto"/>
              <w:rPr>
                <w:color w:val="auto"/>
                <w:kern w:val="2"/>
                <w:sz w:val="16"/>
                <w:szCs w:val="16"/>
                <w:highlight w:val="none"/>
              </w:rPr>
            </w:pPr>
          </w:p>
        </w:tc>
        <w:tc>
          <w:tcPr>
            <w:tcW w:w="540" w:type="dxa"/>
            <w:vAlign w:val="bottom"/>
          </w:tcPr>
          <w:p>
            <w:pPr>
              <w:adjustRightInd/>
              <w:spacing w:line="192" w:lineRule="exact"/>
              <w:ind w:left="360" w:firstLine="0" w:firstLineChars="0"/>
              <w:jc w:val="both"/>
              <w:textAlignment w:val="auto"/>
              <w:rPr>
                <w:color w:val="auto"/>
                <w:kern w:val="2"/>
                <w:sz w:val="20"/>
                <w:highlight w:val="none"/>
              </w:rPr>
            </w:pPr>
            <w:r>
              <w:rPr>
                <w:rFonts w:ascii="Symbol" w:hAnsi="Symbol" w:eastAsia="Symbol" w:cs="Symbol"/>
                <w:color w:val="auto"/>
                <w:kern w:val="2"/>
                <w:sz w:val="20"/>
                <w:highlight w:val="none"/>
              </w:rPr>
              <w:t></w:t>
            </w:r>
          </w:p>
        </w:tc>
        <w:tc>
          <w:tcPr>
            <w:tcW w:w="180" w:type="dxa"/>
            <w:vAlign w:val="bottom"/>
          </w:tcPr>
          <w:p>
            <w:pPr>
              <w:adjustRightInd/>
              <w:spacing w:line="159" w:lineRule="exact"/>
              <w:ind w:firstLine="0" w:firstLineChars="0"/>
              <w:jc w:val="right"/>
              <w:textAlignment w:val="auto"/>
              <w:rPr>
                <w:color w:val="auto"/>
                <w:kern w:val="2"/>
                <w:sz w:val="20"/>
                <w:highlight w:val="none"/>
              </w:rPr>
            </w:pPr>
            <w:r>
              <w:rPr>
                <w:rFonts w:eastAsia="Times New Roman"/>
                <w:color w:val="auto"/>
                <w:kern w:val="2"/>
                <w:sz w:val="14"/>
                <w:szCs w:val="14"/>
                <w:highlight w:val="none"/>
              </w:rPr>
              <w:t>1</w:t>
            </w:r>
          </w:p>
        </w:tc>
        <w:tc>
          <w:tcPr>
            <w:tcW w:w="180" w:type="dxa"/>
            <w:vAlign w:val="bottom"/>
          </w:tcPr>
          <w:p>
            <w:pPr>
              <w:adjustRightInd/>
              <w:ind w:firstLine="0" w:firstLineChars="0"/>
              <w:jc w:val="both"/>
              <w:textAlignment w:val="auto"/>
              <w:rPr>
                <w:color w:val="auto"/>
                <w:kern w:val="2"/>
                <w:sz w:val="16"/>
                <w:szCs w:val="16"/>
                <w:highlight w:val="none"/>
              </w:rPr>
            </w:pPr>
          </w:p>
        </w:tc>
        <w:tc>
          <w:tcPr>
            <w:tcW w:w="340" w:type="dxa"/>
            <w:vMerge w:val="continue"/>
            <w:vAlign w:val="bottom"/>
          </w:tcPr>
          <w:p>
            <w:pPr>
              <w:adjustRightInd/>
              <w:ind w:firstLine="0" w:firstLineChars="0"/>
              <w:jc w:val="both"/>
              <w:textAlignment w:val="auto"/>
              <w:rPr>
                <w:color w:val="auto"/>
                <w:kern w:val="2"/>
                <w:sz w:val="16"/>
                <w:szCs w:val="16"/>
                <w:highlight w:val="none"/>
              </w:rPr>
            </w:pPr>
          </w:p>
        </w:tc>
        <w:tc>
          <w:tcPr>
            <w:tcW w:w="660" w:type="dxa"/>
            <w:vAlign w:val="bottom"/>
          </w:tcPr>
          <w:p>
            <w:pPr>
              <w:adjustRightInd/>
              <w:spacing w:line="159" w:lineRule="exact"/>
              <w:ind w:right="142" w:firstLine="0" w:firstLineChars="0"/>
              <w:jc w:val="right"/>
              <w:textAlignment w:val="auto"/>
              <w:rPr>
                <w:color w:val="auto"/>
                <w:kern w:val="2"/>
                <w:sz w:val="20"/>
                <w:highlight w:val="none"/>
              </w:rPr>
            </w:pPr>
            <w:r>
              <w:rPr>
                <w:rFonts w:eastAsia="Times New Roman"/>
                <w:color w:val="auto"/>
                <w:kern w:val="2"/>
                <w:sz w:val="14"/>
                <w:szCs w:val="14"/>
                <w:highlight w:val="none"/>
              </w:rPr>
              <w:t>2</w:t>
            </w:r>
          </w:p>
        </w:tc>
        <w:tc>
          <w:tcPr>
            <w:tcW w:w="340" w:type="dxa"/>
            <w:vMerge w:val="continue"/>
            <w:vAlign w:val="bottom"/>
          </w:tcPr>
          <w:p>
            <w:pPr>
              <w:adjustRightInd/>
              <w:ind w:firstLine="0" w:firstLineChars="0"/>
              <w:jc w:val="both"/>
              <w:textAlignment w:val="auto"/>
              <w:rPr>
                <w:color w:val="auto"/>
                <w:kern w:val="2"/>
                <w:sz w:val="16"/>
                <w:szCs w:val="16"/>
                <w:highlight w:val="none"/>
              </w:rPr>
            </w:pPr>
          </w:p>
        </w:tc>
        <w:tc>
          <w:tcPr>
            <w:tcW w:w="660" w:type="dxa"/>
            <w:vAlign w:val="bottom"/>
          </w:tcPr>
          <w:p>
            <w:pPr>
              <w:adjustRightInd/>
              <w:spacing w:line="159" w:lineRule="exact"/>
              <w:ind w:right="142" w:firstLine="0" w:firstLineChars="0"/>
              <w:jc w:val="right"/>
              <w:textAlignment w:val="auto"/>
              <w:rPr>
                <w:color w:val="auto"/>
                <w:kern w:val="2"/>
                <w:sz w:val="20"/>
                <w:highlight w:val="none"/>
              </w:rPr>
            </w:pPr>
            <w:r>
              <w:rPr>
                <w:rFonts w:eastAsia="Times New Roman"/>
                <w:color w:val="auto"/>
                <w:kern w:val="2"/>
                <w:sz w:val="14"/>
                <w:szCs w:val="14"/>
                <w:highlight w:val="none"/>
              </w:rPr>
              <w:t>3</w:t>
            </w:r>
          </w:p>
        </w:tc>
        <w:tc>
          <w:tcPr>
            <w:tcW w:w="340" w:type="dxa"/>
            <w:vMerge w:val="continue"/>
            <w:vAlign w:val="bottom"/>
          </w:tcPr>
          <w:p>
            <w:pPr>
              <w:adjustRightInd/>
              <w:ind w:firstLine="0" w:firstLineChars="0"/>
              <w:jc w:val="both"/>
              <w:textAlignment w:val="auto"/>
              <w:rPr>
                <w:color w:val="auto"/>
                <w:kern w:val="2"/>
                <w:sz w:val="16"/>
                <w:szCs w:val="16"/>
                <w:highlight w:val="none"/>
              </w:rPr>
            </w:pPr>
          </w:p>
        </w:tc>
        <w:tc>
          <w:tcPr>
            <w:tcW w:w="1080" w:type="dxa"/>
            <w:vAlign w:val="bottom"/>
          </w:tcPr>
          <w:p>
            <w:pPr>
              <w:adjustRightInd/>
              <w:spacing w:line="159" w:lineRule="exact"/>
              <w:ind w:left="780" w:firstLine="0" w:firstLineChars="0"/>
              <w:jc w:val="both"/>
              <w:textAlignment w:val="auto"/>
              <w:rPr>
                <w:color w:val="auto"/>
                <w:kern w:val="2"/>
                <w:sz w:val="20"/>
                <w:highlight w:val="none"/>
              </w:rPr>
            </w:pPr>
            <w:r>
              <w:rPr>
                <w:rFonts w:eastAsia="Times New Roman"/>
                <w:i/>
                <w:iCs/>
                <w:color w:val="auto"/>
                <w:kern w:val="2"/>
                <w:sz w:val="14"/>
                <w:szCs w:val="14"/>
                <w:highlight w:val="none"/>
              </w:rPr>
              <w:t>n</w:t>
            </w:r>
          </w:p>
        </w:tc>
        <w:tc>
          <w:tcPr>
            <w:tcW w:w="500" w:type="dxa"/>
            <w:gridSpan w:val="2"/>
            <w:vAlign w:val="bottom"/>
          </w:tcPr>
          <w:p>
            <w:pPr>
              <w:adjustRightInd/>
              <w:spacing w:line="192" w:lineRule="exact"/>
              <w:ind w:firstLine="0" w:firstLineChars="0"/>
              <w:jc w:val="right"/>
              <w:textAlignment w:val="auto"/>
              <w:rPr>
                <w:color w:val="auto"/>
                <w:kern w:val="2"/>
                <w:sz w:val="20"/>
                <w:highlight w:val="none"/>
              </w:rPr>
            </w:pPr>
            <w:r>
              <w:rPr>
                <w:rFonts w:eastAsia="Times New Roman"/>
                <w:i/>
                <w:iCs/>
                <w:color w:val="auto"/>
                <w:kern w:val="2"/>
                <w:sz w:val="15"/>
                <w:szCs w:val="15"/>
                <w:highlight w:val="none"/>
              </w:rPr>
              <w:t xml:space="preserve">F  </w:t>
            </w:r>
            <w:r>
              <w:rPr>
                <w:rFonts w:ascii="Symbol" w:hAnsi="Symbol" w:eastAsia="Symbol" w:cs="Symbol"/>
                <w:color w:val="auto"/>
                <w:kern w:val="2"/>
                <w:sz w:val="20"/>
                <w:highlight w:val="none"/>
                <w:vertAlign w:val="superscript"/>
              </w:rPr>
              <w:t></w:t>
            </w:r>
          </w:p>
        </w:tc>
        <w:tc>
          <w:tcPr>
            <w:tcW w:w="360" w:type="dxa"/>
            <w:vAlign w:val="bottom"/>
          </w:tcPr>
          <w:p>
            <w:pPr>
              <w:adjustRightInd/>
              <w:spacing w:line="192" w:lineRule="exact"/>
              <w:ind w:left="260" w:firstLine="0" w:firstLineChars="0"/>
              <w:jc w:val="both"/>
              <w:textAlignment w:val="auto"/>
              <w:rPr>
                <w:color w:val="auto"/>
                <w:kern w:val="2"/>
                <w:sz w:val="20"/>
                <w:highlight w:val="none"/>
              </w:rPr>
            </w:pPr>
            <w:r>
              <w:rPr>
                <w:rFonts w:ascii="Symbol" w:hAnsi="Symbol" w:eastAsia="Symbol" w:cs="Symbol"/>
                <w:color w:val="auto"/>
                <w:kern w:val="2"/>
                <w:sz w:val="20"/>
                <w:highlight w:val="none"/>
              </w:rPr>
              <w:t></w:t>
            </w:r>
          </w:p>
        </w:tc>
        <w:tc>
          <w:tcPr>
            <w:tcW w:w="20" w:type="dxa"/>
            <w:vAlign w:val="bottom"/>
          </w:tcPr>
          <w:p>
            <w:pPr>
              <w:adjustRightInd/>
              <w:ind w:firstLine="0" w:firstLineChars="0"/>
              <w:jc w:val="both"/>
              <w:textAlignment w:val="auto"/>
              <w:rPr>
                <w:color w:val="auto"/>
                <w:kern w:val="2"/>
                <w:sz w:val="1"/>
                <w:szCs w:val="1"/>
                <w:highlight w:val="none"/>
              </w:rPr>
            </w:pPr>
          </w:p>
        </w:tc>
      </w:tr>
      <w:tr>
        <w:tblPrEx>
          <w:tblLayout w:type="fixed"/>
          <w:tblCellMar>
            <w:top w:w="0" w:type="dxa"/>
            <w:left w:w="0" w:type="dxa"/>
            <w:bottom w:w="0" w:type="dxa"/>
            <w:right w:w="0" w:type="dxa"/>
          </w:tblCellMar>
        </w:tblPrEx>
        <w:trPr>
          <w:trHeight w:val="301" w:hRule="atLeast"/>
        </w:trPr>
        <w:tc>
          <w:tcPr>
            <w:tcW w:w="740" w:type="dxa"/>
            <w:vAlign w:val="bottom"/>
          </w:tcPr>
          <w:p>
            <w:pPr>
              <w:adjustRightInd/>
              <w:ind w:firstLine="0" w:firstLineChars="0"/>
              <w:jc w:val="both"/>
              <w:textAlignment w:val="auto"/>
              <w:rPr>
                <w:color w:val="auto"/>
                <w:kern w:val="2"/>
                <w:szCs w:val="24"/>
                <w:highlight w:val="none"/>
              </w:rPr>
            </w:pPr>
          </w:p>
        </w:tc>
        <w:tc>
          <w:tcPr>
            <w:tcW w:w="120" w:type="dxa"/>
            <w:vAlign w:val="bottom"/>
          </w:tcPr>
          <w:p>
            <w:pPr>
              <w:adjustRightInd/>
              <w:spacing w:line="302" w:lineRule="exact"/>
              <w:ind w:left="20" w:firstLine="0" w:firstLineChars="0"/>
              <w:jc w:val="both"/>
              <w:textAlignment w:val="auto"/>
              <w:rPr>
                <w:color w:val="auto"/>
                <w:kern w:val="2"/>
                <w:sz w:val="20"/>
                <w:highlight w:val="none"/>
              </w:rPr>
            </w:pPr>
            <w:r>
              <w:rPr>
                <w:rFonts w:ascii="Symbol" w:hAnsi="Symbol" w:eastAsia="Symbol" w:cs="Symbol"/>
                <w:color w:val="auto"/>
                <w:w w:val="82"/>
                <w:kern w:val="2"/>
                <w:sz w:val="25"/>
                <w:szCs w:val="25"/>
                <w:highlight w:val="none"/>
              </w:rPr>
              <w:t></w:t>
            </w:r>
          </w:p>
        </w:tc>
        <w:tc>
          <w:tcPr>
            <w:tcW w:w="540" w:type="dxa"/>
            <w:vAlign w:val="bottom"/>
          </w:tcPr>
          <w:p>
            <w:pPr>
              <w:adjustRightInd/>
              <w:spacing w:line="302" w:lineRule="exact"/>
              <w:ind w:left="360" w:firstLine="0" w:firstLineChars="0"/>
              <w:jc w:val="both"/>
              <w:textAlignment w:val="auto"/>
              <w:rPr>
                <w:color w:val="auto"/>
                <w:kern w:val="2"/>
                <w:sz w:val="20"/>
                <w:highlight w:val="none"/>
              </w:rPr>
            </w:pPr>
            <w:r>
              <w:rPr>
                <w:rFonts w:ascii="Symbol" w:hAnsi="Symbol" w:eastAsia="Symbol" w:cs="Symbol"/>
                <w:color w:val="auto"/>
                <w:kern w:val="2"/>
                <w:sz w:val="25"/>
                <w:szCs w:val="25"/>
                <w:highlight w:val="none"/>
              </w:rPr>
              <w:t></w:t>
            </w:r>
          </w:p>
        </w:tc>
        <w:tc>
          <w:tcPr>
            <w:tcW w:w="180" w:type="dxa"/>
            <w:vAlign w:val="bottom"/>
          </w:tcPr>
          <w:p>
            <w:pPr>
              <w:adjustRightInd/>
              <w:ind w:firstLine="0" w:firstLineChars="0"/>
              <w:jc w:val="both"/>
              <w:textAlignment w:val="auto"/>
              <w:rPr>
                <w:color w:val="auto"/>
                <w:kern w:val="2"/>
                <w:szCs w:val="24"/>
                <w:highlight w:val="none"/>
              </w:rPr>
            </w:pPr>
          </w:p>
        </w:tc>
        <w:tc>
          <w:tcPr>
            <w:tcW w:w="18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spacing w:line="159" w:lineRule="exact"/>
              <w:ind w:left="160" w:firstLine="0" w:firstLineChars="0"/>
              <w:jc w:val="both"/>
              <w:textAlignment w:val="auto"/>
              <w:rPr>
                <w:color w:val="auto"/>
                <w:kern w:val="2"/>
                <w:sz w:val="20"/>
                <w:highlight w:val="none"/>
              </w:rPr>
            </w:pPr>
            <w:r>
              <w:rPr>
                <w:rFonts w:eastAsia="Times New Roman"/>
                <w:color w:val="auto"/>
                <w:kern w:val="2"/>
                <w:sz w:val="14"/>
                <w:szCs w:val="14"/>
                <w:highlight w:val="none"/>
              </w:rPr>
              <w:t>01</w:t>
            </w:r>
          </w:p>
        </w:tc>
        <w:tc>
          <w:tcPr>
            <w:tcW w:w="66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spacing w:line="159" w:lineRule="exact"/>
              <w:ind w:left="160" w:firstLine="0" w:firstLineChars="0"/>
              <w:jc w:val="both"/>
              <w:textAlignment w:val="auto"/>
              <w:rPr>
                <w:color w:val="auto"/>
                <w:kern w:val="2"/>
                <w:sz w:val="20"/>
                <w:highlight w:val="none"/>
              </w:rPr>
            </w:pPr>
            <w:r>
              <w:rPr>
                <w:rFonts w:eastAsia="Times New Roman"/>
                <w:color w:val="auto"/>
                <w:kern w:val="2"/>
                <w:sz w:val="14"/>
                <w:szCs w:val="14"/>
                <w:highlight w:val="none"/>
              </w:rPr>
              <w:t>02</w:t>
            </w:r>
          </w:p>
        </w:tc>
        <w:tc>
          <w:tcPr>
            <w:tcW w:w="660" w:type="dxa"/>
            <w:vAlign w:val="bottom"/>
          </w:tcPr>
          <w:p>
            <w:pPr>
              <w:adjustRightInd/>
              <w:ind w:firstLine="0" w:firstLineChars="0"/>
              <w:jc w:val="both"/>
              <w:textAlignment w:val="auto"/>
              <w:rPr>
                <w:color w:val="auto"/>
                <w:kern w:val="2"/>
                <w:szCs w:val="24"/>
                <w:highlight w:val="none"/>
              </w:rPr>
            </w:pPr>
          </w:p>
        </w:tc>
        <w:tc>
          <w:tcPr>
            <w:tcW w:w="340" w:type="dxa"/>
            <w:vAlign w:val="bottom"/>
          </w:tcPr>
          <w:p>
            <w:pPr>
              <w:adjustRightInd/>
              <w:spacing w:line="159" w:lineRule="exact"/>
              <w:ind w:left="160" w:firstLine="0" w:firstLineChars="0"/>
              <w:jc w:val="both"/>
              <w:textAlignment w:val="auto"/>
              <w:rPr>
                <w:color w:val="auto"/>
                <w:kern w:val="2"/>
                <w:sz w:val="20"/>
                <w:highlight w:val="none"/>
              </w:rPr>
            </w:pPr>
            <w:r>
              <w:rPr>
                <w:rFonts w:eastAsia="Times New Roman"/>
                <w:color w:val="auto"/>
                <w:kern w:val="2"/>
                <w:sz w:val="14"/>
                <w:szCs w:val="14"/>
                <w:highlight w:val="none"/>
              </w:rPr>
              <w:t>03</w:t>
            </w:r>
          </w:p>
        </w:tc>
        <w:tc>
          <w:tcPr>
            <w:tcW w:w="1080" w:type="dxa"/>
            <w:vAlign w:val="bottom"/>
          </w:tcPr>
          <w:p>
            <w:pPr>
              <w:adjustRightInd/>
              <w:ind w:firstLine="0" w:firstLineChars="0"/>
              <w:jc w:val="both"/>
              <w:textAlignment w:val="auto"/>
              <w:rPr>
                <w:color w:val="auto"/>
                <w:kern w:val="2"/>
                <w:szCs w:val="24"/>
                <w:highlight w:val="none"/>
              </w:rPr>
            </w:pPr>
          </w:p>
        </w:tc>
        <w:tc>
          <w:tcPr>
            <w:tcW w:w="500" w:type="dxa"/>
            <w:gridSpan w:val="2"/>
            <w:vAlign w:val="bottom"/>
          </w:tcPr>
          <w:p>
            <w:pPr>
              <w:adjustRightInd/>
              <w:ind w:firstLine="0" w:firstLineChars="0"/>
              <w:jc w:val="right"/>
              <w:textAlignment w:val="auto"/>
              <w:rPr>
                <w:color w:val="auto"/>
                <w:kern w:val="2"/>
                <w:sz w:val="20"/>
                <w:highlight w:val="none"/>
              </w:rPr>
            </w:pPr>
            <w:r>
              <w:rPr>
                <w:rFonts w:eastAsia="Times New Roman"/>
                <w:color w:val="auto"/>
                <w:kern w:val="2"/>
                <w:sz w:val="14"/>
                <w:szCs w:val="14"/>
                <w:highlight w:val="none"/>
              </w:rPr>
              <w:t>0</w:t>
            </w:r>
            <w:r>
              <w:rPr>
                <w:rFonts w:eastAsia="Times New Roman"/>
                <w:i/>
                <w:iCs/>
                <w:color w:val="auto"/>
                <w:kern w:val="2"/>
                <w:sz w:val="14"/>
                <w:szCs w:val="14"/>
                <w:highlight w:val="none"/>
              </w:rPr>
              <w:t>n</w:t>
            </w:r>
            <w:r>
              <w:rPr>
                <w:rFonts w:ascii="Symbol" w:hAnsi="Symbol" w:eastAsia="Symbol" w:cs="Symbol"/>
                <w:color w:val="auto"/>
                <w:kern w:val="2"/>
                <w:szCs w:val="24"/>
                <w:highlight w:val="none"/>
              </w:rPr>
              <w:t></w:t>
            </w:r>
          </w:p>
        </w:tc>
        <w:tc>
          <w:tcPr>
            <w:tcW w:w="360" w:type="dxa"/>
            <w:vAlign w:val="bottom"/>
          </w:tcPr>
          <w:p>
            <w:pPr>
              <w:adjustRightInd/>
              <w:spacing w:line="302" w:lineRule="exact"/>
              <w:ind w:left="260" w:firstLine="0" w:firstLineChars="0"/>
              <w:jc w:val="both"/>
              <w:textAlignment w:val="auto"/>
              <w:rPr>
                <w:color w:val="auto"/>
                <w:kern w:val="2"/>
                <w:sz w:val="20"/>
                <w:highlight w:val="none"/>
              </w:rPr>
            </w:pPr>
            <w:r>
              <w:rPr>
                <w:rFonts w:ascii="Symbol" w:hAnsi="Symbol" w:eastAsia="Symbol" w:cs="Symbol"/>
                <w:color w:val="auto"/>
                <w:w w:val="82"/>
                <w:kern w:val="2"/>
                <w:sz w:val="25"/>
                <w:szCs w:val="25"/>
                <w:highlight w:val="none"/>
              </w:rPr>
              <w:t></w:t>
            </w:r>
          </w:p>
        </w:tc>
        <w:tc>
          <w:tcPr>
            <w:tcW w:w="20" w:type="dxa"/>
            <w:vAlign w:val="bottom"/>
          </w:tcPr>
          <w:p>
            <w:pPr>
              <w:adjustRightInd/>
              <w:ind w:firstLine="0" w:firstLineChars="0"/>
              <w:jc w:val="both"/>
              <w:textAlignment w:val="auto"/>
              <w:rPr>
                <w:color w:val="auto"/>
                <w:kern w:val="2"/>
                <w:sz w:val="1"/>
                <w:szCs w:val="1"/>
                <w:highlight w:val="none"/>
              </w:rPr>
            </w:pPr>
          </w:p>
        </w:tc>
      </w:tr>
    </w:tbl>
    <w:p>
      <w:pPr>
        <w:adjustRightInd/>
        <w:spacing w:line="256" w:lineRule="exact"/>
        <w:ind w:firstLine="0" w:firstLineChars="0"/>
        <w:jc w:val="both"/>
        <w:textAlignment w:val="auto"/>
        <w:rPr>
          <w:color w:val="auto"/>
          <w:kern w:val="2"/>
          <w:sz w:val="20"/>
          <w:highlight w:val="none"/>
        </w:rPr>
      </w:pPr>
    </w:p>
    <w:p>
      <w:pPr>
        <w:adjustRightInd/>
        <w:spacing w:line="256" w:lineRule="exact"/>
        <w:ind w:left="780" w:firstLine="0" w:firstLineChars="0"/>
        <w:jc w:val="both"/>
        <w:textAlignment w:val="auto"/>
        <w:rPr>
          <w:color w:val="auto"/>
          <w:kern w:val="2"/>
          <w:sz w:val="20"/>
          <w:highlight w:val="none"/>
        </w:rPr>
      </w:pPr>
      <w:r>
        <w:rPr>
          <w:rFonts w:ascii="宋体" w:hAnsi="宋体" w:cs="宋体"/>
          <w:color w:val="auto"/>
          <w:kern w:val="2"/>
          <w:sz w:val="21"/>
          <w:szCs w:val="21"/>
          <w:highlight w:val="none"/>
        </w:rPr>
        <w:t>式中：</w:t>
      </w:r>
      <w:r>
        <w:rPr>
          <w:rFonts w:ascii="MS PGothic" w:hAnsi="MS PGothic" w:eastAsia="MS PGothic" w:cs="MS PGothic"/>
          <w:color w:val="auto"/>
          <w:kern w:val="2"/>
          <w:sz w:val="21"/>
          <w:szCs w:val="21"/>
          <w:highlight w:val="none"/>
        </w:rPr>
        <w:t>△</w:t>
      </w:r>
      <w:r>
        <w:rPr>
          <w:rFonts w:eastAsia="Times New Roman"/>
          <w:color w:val="auto"/>
          <w:kern w:val="2"/>
          <w:sz w:val="21"/>
          <w:szCs w:val="21"/>
          <w:highlight w:val="none"/>
        </w:rPr>
        <w:t xml:space="preserve">P -- </w:t>
      </w:r>
      <w:r>
        <w:rPr>
          <w:rFonts w:ascii="宋体" w:hAnsi="宋体" w:cs="宋体"/>
          <w:color w:val="auto"/>
          <w:kern w:val="2"/>
          <w:sz w:val="21"/>
          <w:szCs w:val="21"/>
          <w:highlight w:val="none"/>
        </w:rPr>
        <w:t>需调整的价格差额；</w:t>
      </w:r>
    </w:p>
    <w:p>
      <w:pPr>
        <w:adjustRightInd/>
        <w:spacing w:line="156" w:lineRule="exact"/>
        <w:ind w:firstLine="0" w:firstLineChars="0"/>
        <w:jc w:val="both"/>
        <w:textAlignment w:val="auto"/>
        <w:rPr>
          <w:color w:val="auto"/>
          <w:kern w:val="2"/>
          <w:sz w:val="20"/>
          <w:highlight w:val="none"/>
        </w:rPr>
      </w:pPr>
    </w:p>
    <w:p>
      <w:pPr>
        <w:adjustRightInd/>
        <w:spacing w:line="416" w:lineRule="exact"/>
        <w:ind w:left="360" w:right="346" w:firstLine="1260" w:firstLineChars="0"/>
        <w:jc w:val="both"/>
        <w:textAlignment w:val="auto"/>
        <w:rPr>
          <w:color w:val="auto"/>
          <w:kern w:val="2"/>
          <w:sz w:val="20"/>
          <w:highlight w:val="none"/>
        </w:rPr>
      </w:pPr>
      <w:r>
        <w:rPr>
          <w:rFonts w:eastAsia="Times New Roman"/>
          <w:color w:val="auto"/>
          <w:kern w:val="2"/>
          <w:sz w:val="21"/>
          <w:szCs w:val="21"/>
          <w:highlight w:val="none"/>
        </w:rPr>
        <w:t>P</w:t>
      </w:r>
      <w:r>
        <w:rPr>
          <w:rFonts w:eastAsia="Times New Roman"/>
          <w:color w:val="auto"/>
          <w:kern w:val="2"/>
          <w:sz w:val="27"/>
          <w:szCs w:val="27"/>
          <w:highlight w:val="none"/>
          <w:vertAlign w:val="subscript"/>
        </w:rPr>
        <w:t>0</w:t>
      </w:r>
      <w:r>
        <w:rPr>
          <w:rFonts w:eastAsia="Times New Roman"/>
          <w:color w:val="auto"/>
          <w:kern w:val="2"/>
          <w:sz w:val="21"/>
          <w:szCs w:val="21"/>
          <w:highlight w:val="none"/>
        </w:rPr>
        <w:t xml:space="preserve"> -- </w:t>
      </w:r>
      <w:r>
        <w:rPr>
          <w:rFonts w:ascii="宋体" w:hAnsi="宋体" w:cs="宋体"/>
          <w:color w:val="auto"/>
          <w:kern w:val="2"/>
          <w:sz w:val="21"/>
          <w:szCs w:val="21"/>
          <w:highlight w:val="none"/>
        </w:rPr>
        <w:t>第</w:t>
      </w:r>
      <w:r>
        <w:rPr>
          <w:rFonts w:eastAsia="Times New Roman"/>
          <w:color w:val="auto"/>
          <w:kern w:val="2"/>
          <w:sz w:val="21"/>
          <w:szCs w:val="21"/>
          <w:highlight w:val="none"/>
        </w:rPr>
        <w:t xml:space="preserve"> 17.3.3 </w:t>
      </w:r>
      <w:r>
        <w:rPr>
          <w:rFonts w:ascii="宋体" w:hAnsi="宋体" w:cs="宋体"/>
          <w:color w:val="auto"/>
          <w:kern w:val="2"/>
          <w:sz w:val="21"/>
          <w:szCs w:val="21"/>
          <w:highlight w:val="none"/>
        </w:rPr>
        <w:t>项、第</w:t>
      </w:r>
      <w:r>
        <w:rPr>
          <w:rFonts w:eastAsia="Times New Roman"/>
          <w:color w:val="auto"/>
          <w:kern w:val="2"/>
          <w:sz w:val="21"/>
          <w:szCs w:val="21"/>
          <w:highlight w:val="none"/>
        </w:rPr>
        <w:t xml:space="preserve"> 17.5.2 </w:t>
      </w:r>
      <w:r>
        <w:rPr>
          <w:rFonts w:ascii="宋体" w:hAnsi="宋体" w:cs="宋体"/>
          <w:color w:val="auto"/>
          <w:kern w:val="2"/>
          <w:sz w:val="21"/>
          <w:szCs w:val="21"/>
          <w:highlight w:val="none"/>
        </w:rPr>
        <w:t>项和第</w:t>
      </w:r>
      <w:r>
        <w:rPr>
          <w:rFonts w:eastAsia="Times New Roman"/>
          <w:color w:val="auto"/>
          <w:kern w:val="2"/>
          <w:sz w:val="21"/>
          <w:szCs w:val="21"/>
          <w:highlight w:val="none"/>
        </w:rPr>
        <w:t xml:space="preserve"> 17.6.2 </w:t>
      </w:r>
      <w:r>
        <w:rPr>
          <w:rFonts w:ascii="宋体" w:hAnsi="宋体" w:cs="宋体"/>
          <w:color w:val="auto"/>
          <w:kern w:val="2"/>
          <w:sz w:val="21"/>
          <w:szCs w:val="21"/>
          <w:highlight w:val="none"/>
        </w:rPr>
        <w:t>项约定的付款证书中承包人应得到的已完成工程量的金额。此项金额应不包括价格调整、不计质量保证金的扣留和支付、预付款的支付和扣回。第</w:t>
      </w:r>
      <w:r>
        <w:rPr>
          <w:rFonts w:eastAsia="Times New Roman"/>
          <w:color w:val="auto"/>
          <w:kern w:val="2"/>
          <w:sz w:val="21"/>
          <w:szCs w:val="21"/>
          <w:highlight w:val="none"/>
        </w:rPr>
        <w:t xml:space="preserve"> 15 </w:t>
      </w:r>
      <w:r>
        <w:rPr>
          <w:rFonts w:ascii="宋体" w:hAnsi="宋体" w:cs="宋体"/>
          <w:color w:val="auto"/>
          <w:kern w:val="2"/>
          <w:sz w:val="21"/>
          <w:szCs w:val="21"/>
          <w:highlight w:val="none"/>
        </w:rPr>
        <w:t>条约定的变更及其他金额已按现行价格计价的，也不计在内；</w:t>
      </w:r>
    </w:p>
    <w:p>
      <w:pPr>
        <w:adjustRightInd/>
        <w:spacing w:line="216" w:lineRule="exact"/>
        <w:ind w:firstLine="0" w:firstLineChars="0"/>
        <w:jc w:val="both"/>
        <w:textAlignment w:val="auto"/>
        <w:rPr>
          <w:color w:val="auto"/>
          <w:kern w:val="2"/>
          <w:sz w:val="20"/>
          <w:highlight w:val="none"/>
        </w:rPr>
      </w:pPr>
    </w:p>
    <w:p>
      <w:pPr>
        <w:adjustRightInd/>
        <w:spacing w:line="256" w:lineRule="exact"/>
        <w:ind w:left="1620" w:firstLine="0" w:firstLineChars="0"/>
        <w:jc w:val="both"/>
        <w:textAlignment w:val="auto"/>
        <w:rPr>
          <w:color w:val="auto"/>
          <w:kern w:val="2"/>
          <w:sz w:val="20"/>
          <w:highlight w:val="none"/>
        </w:rPr>
      </w:pPr>
      <w:r>
        <w:rPr>
          <w:rFonts w:eastAsia="Times New Roman"/>
          <w:color w:val="auto"/>
          <w:kern w:val="2"/>
          <w:sz w:val="21"/>
          <w:szCs w:val="21"/>
          <w:highlight w:val="none"/>
        </w:rPr>
        <w:t xml:space="preserve">A -- </w:t>
      </w:r>
      <w:r>
        <w:rPr>
          <w:rFonts w:ascii="宋体" w:hAnsi="宋体" w:cs="宋体"/>
          <w:color w:val="auto"/>
          <w:kern w:val="2"/>
          <w:sz w:val="21"/>
          <w:szCs w:val="21"/>
          <w:highlight w:val="none"/>
        </w:rPr>
        <w:t>定值权重</w:t>
      </w:r>
      <w:r>
        <w:rPr>
          <w:rFonts w:eastAsia="Times New Roman"/>
          <w:color w:val="auto"/>
          <w:kern w:val="2"/>
          <w:sz w:val="21"/>
          <w:szCs w:val="21"/>
          <w:highlight w:val="none"/>
        </w:rPr>
        <w:t>(</w:t>
      </w:r>
      <w:r>
        <w:rPr>
          <w:rFonts w:ascii="宋体" w:hAnsi="宋体" w:cs="宋体"/>
          <w:color w:val="auto"/>
          <w:kern w:val="2"/>
          <w:sz w:val="21"/>
          <w:szCs w:val="21"/>
          <w:highlight w:val="none"/>
        </w:rPr>
        <w:t>即不调部分的权重</w:t>
      </w:r>
      <w:r>
        <w:rPr>
          <w:rFonts w:eastAsia="Times New Roman"/>
          <w:color w:val="auto"/>
          <w:kern w:val="2"/>
          <w:sz w:val="21"/>
          <w:szCs w:val="21"/>
          <w:highlight w:val="none"/>
        </w:rPr>
        <w:t>)</w:t>
      </w:r>
      <w:r>
        <w:rPr>
          <w:rFonts w:ascii="宋体" w:hAnsi="宋体" w:cs="宋体"/>
          <w:color w:val="auto"/>
          <w:kern w:val="2"/>
          <w:sz w:val="21"/>
          <w:szCs w:val="21"/>
          <w:highlight w:val="none"/>
        </w:rPr>
        <w:t>；</w:t>
      </w:r>
    </w:p>
    <w:p>
      <w:pPr>
        <w:adjustRightInd/>
        <w:spacing w:line="156" w:lineRule="exact"/>
        <w:ind w:firstLine="0" w:firstLineChars="0"/>
        <w:jc w:val="both"/>
        <w:textAlignment w:val="auto"/>
        <w:rPr>
          <w:color w:val="auto"/>
          <w:kern w:val="2"/>
          <w:sz w:val="20"/>
          <w:highlight w:val="none"/>
        </w:rPr>
      </w:pPr>
    </w:p>
    <w:p>
      <w:pPr>
        <w:adjustRightInd/>
        <w:spacing w:line="311" w:lineRule="exact"/>
        <w:ind w:left="1620" w:firstLine="0" w:firstLineChars="0"/>
        <w:jc w:val="both"/>
        <w:textAlignment w:val="auto"/>
        <w:rPr>
          <w:color w:val="auto"/>
          <w:kern w:val="2"/>
          <w:sz w:val="20"/>
          <w:highlight w:val="none"/>
        </w:rPr>
      </w:pPr>
      <w:r>
        <w:rPr>
          <w:rFonts w:eastAsia="Times New Roman"/>
          <w:color w:val="auto"/>
          <w:kern w:val="2"/>
          <w:sz w:val="21"/>
          <w:szCs w:val="21"/>
          <w:highlight w:val="none"/>
        </w:rPr>
        <w:t>B</w:t>
      </w:r>
      <w:r>
        <w:rPr>
          <w:rFonts w:eastAsia="Times New Roman"/>
          <w:color w:val="auto"/>
          <w:kern w:val="2"/>
          <w:sz w:val="27"/>
          <w:szCs w:val="27"/>
          <w:highlight w:val="none"/>
          <w:vertAlign w:val="subscript"/>
        </w:rPr>
        <w:t>1</w:t>
      </w:r>
      <w:r>
        <w:rPr>
          <w:rFonts w:eastAsia="Times New Roman"/>
          <w:color w:val="auto"/>
          <w:kern w:val="2"/>
          <w:sz w:val="15"/>
          <w:szCs w:val="15"/>
          <w:highlight w:val="none"/>
        </w:rPr>
        <w:t>;</w:t>
      </w:r>
      <w:r>
        <w:rPr>
          <w:rFonts w:eastAsia="Times New Roman"/>
          <w:color w:val="auto"/>
          <w:kern w:val="2"/>
          <w:sz w:val="21"/>
          <w:szCs w:val="21"/>
          <w:highlight w:val="none"/>
        </w:rPr>
        <w:t xml:space="preserve">  B</w:t>
      </w:r>
      <w:r>
        <w:rPr>
          <w:rFonts w:eastAsia="Times New Roman"/>
          <w:color w:val="auto"/>
          <w:kern w:val="2"/>
          <w:sz w:val="27"/>
          <w:szCs w:val="27"/>
          <w:highlight w:val="none"/>
          <w:vertAlign w:val="subscript"/>
        </w:rPr>
        <w:t>2</w:t>
      </w:r>
      <w:r>
        <w:rPr>
          <w:rFonts w:eastAsia="Times New Roman"/>
          <w:color w:val="auto"/>
          <w:kern w:val="2"/>
          <w:sz w:val="21"/>
          <w:szCs w:val="21"/>
          <w:highlight w:val="none"/>
        </w:rPr>
        <w:t xml:space="preserve">  ;B</w:t>
      </w:r>
      <w:r>
        <w:rPr>
          <w:rFonts w:eastAsia="Times New Roman"/>
          <w:color w:val="auto"/>
          <w:kern w:val="2"/>
          <w:sz w:val="27"/>
          <w:szCs w:val="27"/>
          <w:highlight w:val="none"/>
          <w:vertAlign w:val="subscript"/>
        </w:rPr>
        <w:t>3</w:t>
      </w:r>
      <w:r>
        <w:rPr>
          <w:rFonts w:ascii="Arial" w:hAnsi="Arial" w:eastAsia="Arial" w:cs="Arial"/>
          <w:color w:val="auto"/>
          <w:kern w:val="2"/>
          <w:sz w:val="15"/>
          <w:szCs w:val="15"/>
          <w:highlight w:val="none"/>
        </w:rPr>
        <w:t>·····</w:t>
      </w:r>
      <w:r>
        <w:rPr>
          <w:rFonts w:eastAsia="Times New Roman"/>
          <w:color w:val="auto"/>
          <w:kern w:val="2"/>
          <w:sz w:val="21"/>
          <w:szCs w:val="21"/>
          <w:highlight w:val="none"/>
        </w:rPr>
        <w:t>B</w:t>
      </w:r>
      <w:r>
        <w:rPr>
          <w:rFonts w:eastAsia="Times New Roman"/>
          <w:color w:val="auto"/>
          <w:kern w:val="2"/>
          <w:sz w:val="27"/>
          <w:szCs w:val="27"/>
          <w:highlight w:val="none"/>
          <w:vertAlign w:val="subscript"/>
        </w:rPr>
        <w:t>n</w:t>
      </w:r>
      <w:r>
        <w:rPr>
          <w:rFonts w:eastAsia="Times New Roman"/>
          <w:color w:val="auto"/>
          <w:kern w:val="2"/>
          <w:sz w:val="21"/>
          <w:szCs w:val="21"/>
          <w:highlight w:val="none"/>
        </w:rPr>
        <w:t xml:space="preserve">  -- </w:t>
      </w:r>
      <w:r>
        <w:rPr>
          <w:rFonts w:ascii="宋体" w:hAnsi="宋体" w:cs="宋体"/>
          <w:color w:val="auto"/>
          <w:kern w:val="2"/>
          <w:sz w:val="21"/>
          <w:szCs w:val="21"/>
          <w:highlight w:val="none"/>
        </w:rPr>
        <w:t>各可调因子的变值权重</w:t>
      </w:r>
      <w:r>
        <w:rPr>
          <w:rFonts w:eastAsia="Times New Roman"/>
          <w:color w:val="auto"/>
          <w:kern w:val="2"/>
          <w:sz w:val="21"/>
          <w:szCs w:val="21"/>
          <w:highlight w:val="none"/>
        </w:rPr>
        <w:t>(</w:t>
      </w:r>
      <w:r>
        <w:rPr>
          <w:rFonts w:ascii="宋体" w:hAnsi="宋体" w:cs="宋体"/>
          <w:color w:val="auto"/>
          <w:kern w:val="2"/>
          <w:sz w:val="21"/>
          <w:szCs w:val="21"/>
          <w:highlight w:val="none"/>
        </w:rPr>
        <w:t>即可调部分的权重</w:t>
      </w:r>
      <w:r>
        <w:rPr>
          <w:rFonts w:eastAsia="Times New Roman"/>
          <w:color w:val="auto"/>
          <w:kern w:val="2"/>
          <w:sz w:val="21"/>
          <w:szCs w:val="21"/>
          <w:highlight w:val="none"/>
        </w:rPr>
        <w:t>)</w:t>
      </w:r>
      <w:r>
        <w:rPr>
          <w:rFonts w:ascii="宋体" w:hAnsi="宋体" w:cs="宋体"/>
          <w:color w:val="auto"/>
          <w:kern w:val="2"/>
          <w:sz w:val="21"/>
          <w:szCs w:val="21"/>
          <w:highlight w:val="none"/>
        </w:rPr>
        <w:t>为各可调因子</w:t>
      </w:r>
    </w:p>
    <w:p>
      <w:pPr>
        <w:adjustRightInd/>
        <w:spacing w:line="215" w:lineRule="exact"/>
        <w:ind w:firstLine="0" w:firstLineChars="0"/>
        <w:jc w:val="both"/>
        <w:textAlignment w:val="auto"/>
        <w:rPr>
          <w:color w:val="auto"/>
          <w:kern w:val="2"/>
          <w:sz w:val="20"/>
          <w:highlight w:val="none"/>
        </w:rPr>
      </w:pPr>
    </w:p>
    <w:p>
      <w:pPr>
        <w:adjustRightInd/>
        <w:spacing w:line="240" w:lineRule="exact"/>
        <w:ind w:left="360" w:firstLine="0" w:firstLineChars="0"/>
        <w:jc w:val="both"/>
        <w:textAlignment w:val="auto"/>
        <w:rPr>
          <w:color w:val="auto"/>
          <w:kern w:val="2"/>
          <w:sz w:val="20"/>
          <w:highlight w:val="none"/>
        </w:rPr>
      </w:pPr>
      <w:r>
        <w:rPr>
          <w:rFonts w:ascii="宋体" w:hAnsi="宋体" w:cs="宋体"/>
          <w:color w:val="auto"/>
          <w:kern w:val="2"/>
          <w:sz w:val="21"/>
          <w:szCs w:val="21"/>
          <w:highlight w:val="none"/>
        </w:rPr>
        <w:t>在投标函投标总报价中所占的比例；</w:t>
      </w:r>
    </w:p>
    <w:p>
      <w:pPr>
        <w:adjustRightInd/>
        <w:spacing w:line="172" w:lineRule="exact"/>
        <w:ind w:firstLine="0" w:firstLineChars="0"/>
        <w:jc w:val="both"/>
        <w:textAlignment w:val="auto"/>
        <w:rPr>
          <w:color w:val="auto"/>
          <w:kern w:val="2"/>
          <w:sz w:val="20"/>
          <w:highlight w:val="none"/>
        </w:rPr>
      </w:pPr>
    </w:p>
    <w:p>
      <w:pPr>
        <w:adjustRightInd/>
        <w:spacing w:line="390" w:lineRule="exact"/>
        <w:ind w:left="360" w:right="346" w:firstLine="1260" w:firstLineChars="0"/>
        <w:jc w:val="both"/>
        <w:textAlignment w:val="auto"/>
        <w:rPr>
          <w:color w:val="auto"/>
          <w:kern w:val="2"/>
          <w:sz w:val="20"/>
          <w:highlight w:val="none"/>
        </w:rPr>
      </w:pPr>
      <w:r>
        <w:rPr>
          <w:rFonts w:eastAsia="Times New Roman"/>
          <w:color w:val="auto"/>
          <w:kern w:val="2"/>
          <w:sz w:val="21"/>
          <w:szCs w:val="21"/>
          <w:highlight w:val="none"/>
        </w:rPr>
        <w:t>F</w:t>
      </w:r>
      <w:r>
        <w:rPr>
          <w:rFonts w:eastAsia="Times New Roman"/>
          <w:color w:val="auto"/>
          <w:kern w:val="2"/>
          <w:sz w:val="27"/>
          <w:szCs w:val="27"/>
          <w:highlight w:val="none"/>
          <w:vertAlign w:val="subscript"/>
        </w:rPr>
        <w:t>t1</w:t>
      </w:r>
      <w:r>
        <w:rPr>
          <w:rFonts w:eastAsia="Times New Roman"/>
          <w:color w:val="auto"/>
          <w:kern w:val="2"/>
          <w:sz w:val="21"/>
          <w:szCs w:val="21"/>
          <w:highlight w:val="none"/>
        </w:rPr>
        <w:t xml:space="preserve"> ;F</w:t>
      </w:r>
      <w:r>
        <w:rPr>
          <w:rFonts w:eastAsia="Times New Roman"/>
          <w:color w:val="auto"/>
          <w:kern w:val="2"/>
          <w:sz w:val="27"/>
          <w:szCs w:val="27"/>
          <w:highlight w:val="none"/>
          <w:vertAlign w:val="subscript"/>
        </w:rPr>
        <w:t>t2</w:t>
      </w:r>
      <w:r>
        <w:rPr>
          <w:rFonts w:eastAsia="Times New Roman"/>
          <w:color w:val="auto"/>
          <w:kern w:val="2"/>
          <w:sz w:val="21"/>
          <w:szCs w:val="21"/>
          <w:highlight w:val="none"/>
        </w:rPr>
        <w:t xml:space="preserve"> ;F</w:t>
      </w:r>
      <w:r>
        <w:rPr>
          <w:rFonts w:eastAsia="Times New Roman"/>
          <w:color w:val="auto"/>
          <w:kern w:val="2"/>
          <w:sz w:val="27"/>
          <w:szCs w:val="27"/>
          <w:highlight w:val="none"/>
          <w:vertAlign w:val="subscript"/>
        </w:rPr>
        <w:t>t3</w:t>
      </w:r>
      <w:r>
        <w:rPr>
          <w:rFonts w:ascii="Arial" w:hAnsi="Arial" w:eastAsia="Arial" w:cs="Arial"/>
          <w:color w:val="auto"/>
          <w:kern w:val="2"/>
          <w:sz w:val="15"/>
          <w:szCs w:val="15"/>
          <w:highlight w:val="none"/>
        </w:rPr>
        <w:t>·····</w:t>
      </w:r>
      <w:r>
        <w:rPr>
          <w:rFonts w:eastAsia="Times New Roman"/>
          <w:color w:val="auto"/>
          <w:kern w:val="2"/>
          <w:sz w:val="21"/>
          <w:szCs w:val="21"/>
          <w:highlight w:val="none"/>
        </w:rPr>
        <w:t>F</w:t>
      </w:r>
      <w:r>
        <w:rPr>
          <w:rFonts w:eastAsia="Times New Roman"/>
          <w:color w:val="auto"/>
          <w:kern w:val="2"/>
          <w:sz w:val="27"/>
          <w:szCs w:val="27"/>
          <w:highlight w:val="none"/>
          <w:vertAlign w:val="subscript"/>
        </w:rPr>
        <w:t>tn</w:t>
      </w:r>
      <w:r>
        <w:rPr>
          <w:rFonts w:eastAsia="Times New Roman"/>
          <w:color w:val="auto"/>
          <w:kern w:val="2"/>
          <w:sz w:val="21"/>
          <w:szCs w:val="21"/>
          <w:highlight w:val="none"/>
        </w:rPr>
        <w:t xml:space="preserve"> -- </w:t>
      </w:r>
      <w:r>
        <w:rPr>
          <w:rFonts w:ascii="宋体" w:hAnsi="宋体" w:cs="宋体"/>
          <w:color w:val="auto"/>
          <w:kern w:val="2"/>
          <w:sz w:val="21"/>
          <w:szCs w:val="21"/>
          <w:highlight w:val="none"/>
        </w:rPr>
        <w:t>各可调因子的现行价格指数，指第</w:t>
      </w:r>
      <w:r>
        <w:rPr>
          <w:rFonts w:eastAsia="Times New Roman"/>
          <w:color w:val="auto"/>
          <w:kern w:val="2"/>
          <w:sz w:val="21"/>
          <w:szCs w:val="21"/>
          <w:highlight w:val="none"/>
        </w:rPr>
        <w:t xml:space="preserve"> 17.3.3 </w:t>
      </w:r>
      <w:r>
        <w:rPr>
          <w:rFonts w:ascii="宋体" w:hAnsi="宋体" w:cs="宋体"/>
          <w:color w:val="auto"/>
          <w:kern w:val="2"/>
          <w:sz w:val="21"/>
          <w:szCs w:val="21"/>
          <w:highlight w:val="none"/>
        </w:rPr>
        <w:t>项、第</w:t>
      </w:r>
      <w:r>
        <w:rPr>
          <w:rFonts w:eastAsia="Times New Roman"/>
          <w:color w:val="auto"/>
          <w:kern w:val="2"/>
          <w:sz w:val="21"/>
          <w:szCs w:val="21"/>
          <w:highlight w:val="none"/>
        </w:rPr>
        <w:t xml:space="preserve"> 17.5.2 </w:t>
      </w:r>
      <w:r>
        <w:rPr>
          <w:rFonts w:ascii="宋体" w:hAnsi="宋体" w:cs="宋体"/>
          <w:color w:val="auto"/>
          <w:kern w:val="2"/>
          <w:sz w:val="21"/>
          <w:szCs w:val="21"/>
          <w:highlight w:val="none"/>
        </w:rPr>
        <w:t>项和第</w:t>
      </w:r>
      <w:r>
        <w:rPr>
          <w:rFonts w:eastAsia="Times New Roman"/>
          <w:color w:val="auto"/>
          <w:kern w:val="2"/>
          <w:sz w:val="21"/>
          <w:szCs w:val="21"/>
          <w:highlight w:val="none"/>
        </w:rPr>
        <w:t xml:space="preserve"> 17.6.2 </w:t>
      </w:r>
      <w:r>
        <w:rPr>
          <w:rFonts w:ascii="宋体" w:hAnsi="宋体" w:cs="宋体"/>
          <w:color w:val="auto"/>
          <w:kern w:val="2"/>
          <w:sz w:val="21"/>
          <w:szCs w:val="21"/>
          <w:highlight w:val="none"/>
        </w:rPr>
        <w:t>项约定的付款证书相关周期最后一天的前</w:t>
      </w:r>
      <w:r>
        <w:rPr>
          <w:rFonts w:eastAsia="Times New Roman"/>
          <w:color w:val="auto"/>
          <w:kern w:val="2"/>
          <w:sz w:val="21"/>
          <w:szCs w:val="21"/>
          <w:highlight w:val="none"/>
        </w:rPr>
        <w:t xml:space="preserve"> 42 </w:t>
      </w:r>
      <w:r>
        <w:rPr>
          <w:rFonts w:ascii="宋体" w:hAnsi="宋体" w:cs="宋体"/>
          <w:color w:val="auto"/>
          <w:kern w:val="2"/>
          <w:sz w:val="21"/>
          <w:szCs w:val="21"/>
          <w:highlight w:val="none"/>
        </w:rPr>
        <w:t>天的各可调因子的价格指数；</w:t>
      </w:r>
    </w:p>
    <w:p>
      <w:pPr>
        <w:adjustRightInd/>
        <w:spacing w:line="158" w:lineRule="exact"/>
        <w:ind w:firstLine="0" w:firstLineChars="0"/>
        <w:jc w:val="both"/>
        <w:textAlignment w:val="auto"/>
        <w:rPr>
          <w:color w:val="auto"/>
          <w:kern w:val="2"/>
          <w:sz w:val="20"/>
          <w:highlight w:val="none"/>
        </w:rPr>
      </w:pPr>
    </w:p>
    <w:p>
      <w:pPr>
        <w:adjustRightInd/>
        <w:spacing w:line="311" w:lineRule="exact"/>
        <w:ind w:left="1620" w:firstLine="0" w:firstLineChars="0"/>
        <w:jc w:val="both"/>
        <w:textAlignment w:val="auto"/>
        <w:rPr>
          <w:color w:val="auto"/>
          <w:kern w:val="2"/>
          <w:sz w:val="20"/>
          <w:highlight w:val="none"/>
        </w:rPr>
      </w:pPr>
      <w:r>
        <w:rPr>
          <w:rFonts w:eastAsia="Times New Roman"/>
          <w:color w:val="auto"/>
          <w:kern w:val="2"/>
          <w:sz w:val="21"/>
          <w:szCs w:val="21"/>
          <w:highlight w:val="none"/>
        </w:rPr>
        <w:t>F</w:t>
      </w:r>
      <w:r>
        <w:rPr>
          <w:rFonts w:eastAsia="Times New Roman"/>
          <w:color w:val="auto"/>
          <w:kern w:val="2"/>
          <w:sz w:val="27"/>
          <w:szCs w:val="27"/>
          <w:highlight w:val="none"/>
          <w:vertAlign w:val="subscript"/>
        </w:rPr>
        <w:t>o1</w:t>
      </w:r>
      <w:r>
        <w:rPr>
          <w:rFonts w:eastAsia="Times New Roman"/>
          <w:color w:val="auto"/>
          <w:kern w:val="2"/>
          <w:sz w:val="21"/>
          <w:szCs w:val="21"/>
          <w:highlight w:val="none"/>
        </w:rPr>
        <w:t>; F</w:t>
      </w:r>
      <w:r>
        <w:rPr>
          <w:rFonts w:eastAsia="Times New Roman"/>
          <w:color w:val="auto"/>
          <w:kern w:val="2"/>
          <w:sz w:val="27"/>
          <w:szCs w:val="27"/>
          <w:highlight w:val="none"/>
          <w:vertAlign w:val="subscript"/>
        </w:rPr>
        <w:t>o2</w:t>
      </w:r>
      <w:r>
        <w:rPr>
          <w:rFonts w:eastAsia="Times New Roman"/>
          <w:color w:val="auto"/>
          <w:kern w:val="2"/>
          <w:sz w:val="15"/>
          <w:szCs w:val="15"/>
          <w:highlight w:val="none"/>
        </w:rPr>
        <w:t>;</w:t>
      </w:r>
      <w:r>
        <w:rPr>
          <w:rFonts w:eastAsia="Times New Roman"/>
          <w:color w:val="auto"/>
          <w:kern w:val="2"/>
          <w:sz w:val="21"/>
          <w:szCs w:val="21"/>
          <w:highlight w:val="none"/>
        </w:rPr>
        <w:t xml:space="preserve"> F</w:t>
      </w:r>
      <w:r>
        <w:rPr>
          <w:rFonts w:eastAsia="Times New Roman"/>
          <w:color w:val="auto"/>
          <w:kern w:val="2"/>
          <w:sz w:val="27"/>
          <w:szCs w:val="27"/>
          <w:highlight w:val="none"/>
          <w:vertAlign w:val="subscript"/>
        </w:rPr>
        <w:t>o3</w:t>
      </w:r>
      <w:r>
        <w:rPr>
          <w:rFonts w:ascii="Arial" w:hAnsi="Arial" w:eastAsia="Arial" w:cs="Arial"/>
          <w:color w:val="auto"/>
          <w:kern w:val="2"/>
          <w:sz w:val="15"/>
          <w:szCs w:val="15"/>
          <w:highlight w:val="none"/>
        </w:rPr>
        <w:t>·····</w:t>
      </w:r>
      <w:r>
        <w:rPr>
          <w:rFonts w:eastAsia="Times New Roman"/>
          <w:color w:val="auto"/>
          <w:kern w:val="2"/>
          <w:sz w:val="21"/>
          <w:szCs w:val="21"/>
          <w:highlight w:val="none"/>
        </w:rPr>
        <w:t>F</w:t>
      </w:r>
      <w:r>
        <w:rPr>
          <w:rFonts w:eastAsia="Times New Roman"/>
          <w:color w:val="auto"/>
          <w:kern w:val="2"/>
          <w:sz w:val="27"/>
          <w:szCs w:val="27"/>
          <w:highlight w:val="none"/>
          <w:vertAlign w:val="subscript"/>
        </w:rPr>
        <w:t>on</w:t>
      </w:r>
      <w:r>
        <w:rPr>
          <w:rFonts w:eastAsia="Times New Roman"/>
          <w:color w:val="auto"/>
          <w:kern w:val="2"/>
          <w:sz w:val="21"/>
          <w:szCs w:val="21"/>
          <w:highlight w:val="none"/>
        </w:rPr>
        <w:t xml:space="preserve"> -- </w:t>
      </w:r>
      <w:r>
        <w:rPr>
          <w:rFonts w:ascii="宋体" w:hAnsi="宋体" w:cs="宋体"/>
          <w:color w:val="auto"/>
          <w:kern w:val="2"/>
          <w:sz w:val="21"/>
          <w:szCs w:val="21"/>
          <w:highlight w:val="none"/>
        </w:rPr>
        <w:t>各可调因子的基本价格指数，指基准日期的各可调因子</w:t>
      </w:r>
    </w:p>
    <w:p>
      <w:pPr>
        <w:adjustRightInd/>
        <w:spacing w:line="214" w:lineRule="exact"/>
        <w:ind w:firstLine="0" w:firstLineChars="0"/>
        <w:jc w:val="both"/>
        <w:textAlignment w:val="auto"/>
        <w:rPr>
          <w:color w:val="auto"/>
          <w:kern w:val="2"/>
          <w:sz w:val="20"/>
          <w:highlight w:val="none"/>
        </w:rPr>
      </w:pPr>
    </w:p>
    <w:p>
      <w:pPr>
        <w:adjustRightInd/>
        <w:ind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的价格指数。</w:t>
      </w:r>
      <w:bookmarkStart w:id="726" w:name="page102"/>
      <w:bookmarkEnd w:id="726"/>
    </w:p>
    <w:p>
      <w:pPr>
        <w:adjustRightInd/>
        <w:ind w:firstLine="42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16.1.1.2 暂时确定调整差额</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在计算调整差额时得不到现行价格指数的，可暂用上一次价格指数计算，并在以后的付款中再按实际价格指数进行调整。</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16.1.1.3 权重的调整</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按第</w:t>
      </w:r>
      <w:r>
        <w:rPr>
          <w:rFonts w:ascii="宋体" w:hAnsi="宋体"/>
          <w:color w:val="auto"/>
          <w:kern w:val="2"/>
          <w:sz w:val="21"/>
          <w:szCs w:val="21"/>
          <w:highlight w:val="none"/>
        </w:rPr>
        <w:t xml:space="preserve"> 15.1 </w:t>
      </w:r>
      <w:r>
        <w:rPr>
          <w:rFonts w:ascii="宋体" w:hAnsi="宋体" w:cs="宋体"/>
          <w:color w:val="auto"/>
          <w:kern w:val="2"/>
          <w:sz w:val="21"/>
          <w:szCs w:val="21"/>
          <w:highlight w:val="none"/>
        </w:rPr>
        <w:t>款约定的变更导致原定合同中的权重不合理时，由监理人与承包人和发包人协商后进行调整。</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16.1.1.4 承包人工期延误后的价格调整</w:t>
      </w:r>
    </w:p>
    <w:p>
      <w:pPr>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由于承包人原因未在约定的工期内竣工的，则对原约定竣工日期后继续施工的工程，</w:t>
      </w:r>
    </w:p>
    <w:p>
      <w:pPr>
        <w:adjustRightInd/>
        <w:ind w:left="360" w:right="34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在使用第</w:t>
      </w:r>
      <w:r>
        <w:rPr>
          <w:rFonts w:ascii="宋体" w:hAnsi="宋体"/>
          <w:color w:val="auto"/>
          <w:kern w:val="2"/>
          <w:sz w:val="21"/>
          <w:szCs w:val="21"/>
          <w:highlight w:val="none"/>
        </w:rPr>
        <w:t xml:space="preserve"> 16.1.1.1 </w:t>
      </w:r>
      <w:r>
        <w:rPr>
          <w:rFonts w:ascii="宋体" w:hAnsi="宋体" w:cs="宋体"/>
          <w:color w:val="auto"/>
          <w:kern w:val="2"/>
          <w:sz w:val="21"/>
          <w:szCs w:val="21"/>
          <w:highlight w:val="none"/>
        </w:rPr>
        <w:t>目价格调整公式时，应采用原约定竣工日期与实际竣工日期的两个价格指数中较低的一个作为现行价格指数。</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16.1.2</w:t>
      </w:r>
      <w:r>
        <w:rPr>
          <w:rFonts w:ascii="宋体" w:hAnsi="宋体"/>
          <w:color w:val="auto"/>
          <w:kern w:val="2"/>
          <w:sz w:val="21"/>
          <w:szCs w:val="21"/>
          <w:highlight w:val="none"/>
        </w:rPr>
        <w:tab/>
      </w:r>
      <w:r>
        <w:rPr>
          <w:rFonts w:ascii="宋体" w:hAnsi="宋体" w:cs="宋体"/>
          <w:color w:val="auto"/>
          <w:kern w:val="2"/>
          <w:sz w:val="21"/>
          <w:szCs w:val="21"/>
          <w:highlight w:val="none"/>
        </w:rPr>
        <w:t>采用造价信息调整价格差额</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施工期内，因人工、材料、设备和机械台班价格波动影响合同价格时，需要进行价格调整的，其价格和数量应由监理人审核，监理人确认需调整的内容、范围、价格和数量作为调整工程合同价格差额的依据。</w:t>
      </w:r>
    </w:p>
    <w:p>
      <w:pPr>
        <w:tabs>
          <w:tab w:val="left" w:pos="20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16.1.2.1</w:t>
      </w:r>
      <w:r>
        <w:rPr>
          <w:rFonts w:ascii="宋体" w:hAnsi="宋体"/>
          <w:color w:val="auto"/>
          <w:kern w:val="2"/>
          <w:sz w:val="21"/>
          <w:szCs w:val="21"/>
          <w:highlight w:val="none"/>
        </w:rPr>
        <w:tab/>
      </w:r>
      <w:r>
        <w:rPr>
          <w:rFonts w:ascii="宋体" w:hAnsi="宋体" w:cs="宋体"/>
          <w:color w:val="auto"/>
          <w:kern w:val="2"/>
          <w:sz w:val="21"/>
          <w:szCs w:val="21"/>
          <w:highlight w:val="none"/>
        </w:rPr>
        <w:t>引起价格调整的物价波动风险范围及幅度</w:t>
      </w:r>
    </w:p>
    <w:p>
      <w:pPr>
        <w:adjustRightInd/>
        <w:ind w:left="360" w:right="346" w:firstLine="631"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pPr>
        <w:tabs>
          <w:tab w:val="left" w:pos="20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16.1.2.2</w:t>
      </w:r>
      <w:r>
        <w:rPr>
          <w:rFonts w:ascii="宋体" w:hAnsi="宋体"/>
          <w:color w:val="auto"/>
          <w:kern w:val="2"/>
          <w:sz w:val="21"/>
          <w:szCs w:val="21"/>
          <w:highlight w:val="none"/>
        </w:rPr>
        <w:tab/>
      </w:r>
      <w:r>
        <w:rPr>
          <w:rFonts w:ascii="宋体" w:hAnsi="宋体" w:cs="宋体"/>
          <w:color w:val="auto"/>
          <w:kern w:val="2"/>
          <w:sz w:val="21"/>
          <w:szCs w:val="21"/>
          <w:highlight w:val="none"/>
        </w:rPr>
        <w:t>物价波动变化幅度的计算方法</w:t>
      </w:r>
    </w:p>
    <w:p>
      <w:pPr>
        <w:adjustRightInd/>
        <w:ind w:left="360" w:right="346" w:firstLine="526"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（1）投标报价基准期确定的人工、材料、设备和机械台班的市场价格即为基准价。投标报价基准期见合同条款专用部分。</w:t>
      </w:r>
    </w:p>
    <w:p>
      <w:pPr>
        <w:adjustRightInd/>
        <w:ind w:left="360" w:right="346" w:firstLine="526"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w:t>
      </w:r>
    </w:p>
    <w:p>
      <w:pPr>
        <w:adjustRightInd/>
        <w:ind w:left="8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（3）合同施工期市场价格的确定方法见合同条款专用部分。</w:t>
      </w:r>
      <w:bookmarkStart w:id="727" w:name="page103"/>
      <w:bookmarkEnd w:id="727"/>
    </w:p>
    <w:p>
      <w:pPr>
        <w:adjustRightInd/>
        <w:ind w:left="8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（4）物价波动变化幅度的计算方法：</w:t>
      </w:r>
    </w:p>
    <w:p>
      <w:pPr>
        <w:adjustRightInd/>
        <w:ind w:left="1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1）当承包人投标报价中的单价低于基准价时：</w:t>
      </w:r>
    </w:p>
    <w:p>
      <w:pPr>
        <w:adjustRightInd/>
        <w:ind w:left="1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物价波动变化幅度（涨幅）=（施工期市场价-基准价）/基准价</w:t>
      </w:r>
      <w:r>
        <w:rPr>
          <w:rFonts w:ascii="宋体" w:hAnsi="宋体" w:cs="Arial"/>
          <w:color w:val="auto"/>
          <w:kern w:val="2"/>
          <w:sz w:val="21"/>
          <w:szCs w:val="21"/>
          <w:highlight w:val="none"/>
        </w:rPr>
        <w:t>×</w:t>
      </w:r>
      <w:r>
        <w:rPr>
          <w:rFonts w:ascii="宋体" w:hAnsi="宋体" w:cs="宋体"/>
          <w:color w:val="auto"/>
          <w:kern w:val="2"/>
          <w:sz w:val="21"/>
          <w:szCs w:val="21"/>
          <w:highlight w:val="none"/>
        </w:rPr>
        <w:t>100%</w:t>
      </w:r>
    </w:p>
    <w:p>
      <w:pPr>
        <w:adjustRightInd/>
        <w:ind w:left="1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物价波动变化幅度（跌幅）=（施工期市场价-投标单价）/投标单价</w:t>
      </w:r>
      <w:r>
        <w:rPr>
          <w:rFonts w:ascii="宋体" w:hAnsi="宋体" w:cs="Arial"/>
          <w:color w:val="auto"/>
          <w:kern w:val="2"/>
          <w:sz w:val="21"/>
          <w:szCs w:val="21"/>
          <w:highlight w:val="none"/>
        </w:rPr>
        <w:t>×</w:t>
      </w:r>
      <w:r>
        <w:rPr>
          <w:rFonts w:ascii="宋体" w:hAnsi="宋体" w:cs="宋体"/>
          <w:color w:val="auto"/>
          <w:kern w:val="2"/>
          <w:sz w:val="21"/>
          <w:szCs w:val="21"/>
          <w:highlight w:val="none"/>
        </w:rPr>
        <w:t>100%</w:t>
      </w:r>
    </w:p>
    <w:p>
      <w:pPr>
        <w:adjustRightInd/>
        <w:ind w:left="1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2）当承包人投标报价中的单价高于基准价时：</w:t>
      </w:r>
    </w:p>
    <w:p>
      <w:pPr>
        <w:adjustRightInd/>
        <w:ind w:left="1780" w:right="42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物价波动变化幅度（涨幅）=（施工期市场价-投标单价）/投标单价</w:t>
      </w:r>
      <w:r>
        <w:rPr>
          <w:rFonts w:ascii="宋体" w:hAnsi="宋体" w:cs="Arial"/>
          <w:color w:val="auto"/>
          <w:kern w:val="2"/>
          <w:sz w:val="21"/>
          <w:szCs w:val="21"/>
          <w:highlight w:val="none"/>
        </w:rPr>
        <w:t>×</w:t>
      </w:r>
      <w:r>
        <w:rPr>
          <w:rFonts w:ascii="宋体" w:hAnsi="宋体" w:cs="宋体"/>
          <w:color w:val="auto"/>
          <w:kern w:val="2"/>
          <w:sz w:val="21"/>
          <w:szCs w:val="21"/>
          <w:highlight w:val="none"/>
        </w:rPr>
        <w:t>100%物价波动变化幅度（跌幅）=（施工期市场价-基准价）/基准价</w:t>
      </w:r>
      <w:r>
        <w:rPr>
          <w:rFonts w:ascii="宋体" w:hAnsi="宋体" w:cs="Arial"/>
          <w:color w:val="auto"/>
          <w:kern w:val="2"/>
          <w:sz w:val="21"/>
          <w:szCs w:val="21"/>
          <w:highlight w:val="none"/>
        </w:rPr>
        <w:t>×</w:t>
      </w:r>
      <w:r>
        <w:rPr>
          <w:rFonts w:ascii="宋体" w:hAnsi="宋体" w:cs="宋体"/>
          <w:color w:val="auto"/>
          <w:kern w:val="2"/>
          <w:sz w:val="21"/>
          <w:szCs w:val="21"/>
          <w:highlight w:val="none"/>
        </w:rPr>
        <w:t>100%</w:t>
      </w:r>
    </w:p>
    <w:p>
      <w:pPr>
        <w:adjustRightInd/>
        <w:ind w:left="1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3）当承包人投标报价中的单价等于基准价时：</w:t>
      </w:r>
    </w:p>
    <w:p>
      <w:pPr>
        <w:adjustRightInd/>
        <w:ind w:left="980" w:right="1686" w:firstLine="787"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物价波动变化幅度=（施工期市场价-基准价）/基准价</w:t>
      </w:r>
      <w:r>
        <w:rPr>
          <w:rFonts w:ascii="宋体" w:hAnsi="宋体" w:cs="Arial"/>
          <w:color w:val="auto"/>
          <w:kern w:val="2"/>
          <w:sz w:val="21"/>
          <w:szCs w:val="21"/>
          <w:highlight w:val="none"/>
        </w:rPr>
        <w:t>×</w:t>
      </w:r>
      <w:r>
        <w:rPr>
          <w:rFonts w:ascii="宋体" w:hAnsi="宋体" w:cs="宋体"/>
          <w:color w:val="auto"/>
          <w:kern w:val="2"/>
          <w:sz w:val="21"/>
          <w:szCs w:val="21"/>
          <w:highlight w:val="none"/>
        </w:rPr>
        <w:t>100%16.1.2.3 物价波动引起价格调整的方法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（1）第 16.1.2.1 目中约定的人工、材料、设备和机械台班的物价波动变化幅度超过风</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险幅度时，其计算价格调整差额的方法见合同条款专用部分。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（2）第 16.1.2.1 目中约定的人工的物价波动变化幅度超过风险幅度时，应当计算全部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价格差额，其价格差额由发包人承担或受益，其价格差额不计取规费，只计取税金。</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（3）第 16.1.2.1 目中约定的材料、设备和机械台班的物价波动变化幅度超过风险幅度</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时，应当计算超过部分的价格差额，其价格差额由发包人承担或受益，其价格差额不计取规</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费，只计取税金。</w:t>
      </w:r>
    </w:p>
    <w:p>
      <w:pPr>
        <w:tabs>
          <w:tab w:val="left" w:pos="2020"/>
        </w:tabs>
        <w:adjustRightInd/>
        <w:ind w:left="9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16.1.2.4</w:t>
      </w:r>
      <w:r>
        <w:rPr>
          <w:rFonts w:ascii="宋体" w:hAnsi="宋体"/>
          <w:color w:val="auto"/>
          <w:kern w:val="2"/>
          <w:sz w:val="21"/>
          <w:szCs w:val="21"/>
          <w:highlight w:val="none"/>
        </w:rPr>
        <w:tab/>
      </w:r>
      <w:r>
        <w:rPr>
          <w:rFonts w:ascii="宋体" w:hAnsi="宋体" w:cs="宋体"/>
          <w:color w:val="auto"/>
          <w:kern w:val="2"/>
          <w:sz w:val="21"/>
          <w:szCs w:val="21"/>
          <w:highlight w:val="none"/>
        </w:rPr>
        <w:t>物价波动引起价格调整的其他约定见合同条款专用部分。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16.1.3</w:t>
      </w:r>
      <w:r>
        <w:rPr>
          <w:rFonts w:ascii="宋体" w:hAnsi="宋体"/>
          <w:color w:val="auto"/>
          <w:kern w:val="2"/>
          <w:sz w:val="21"/>
          <w:szCs w:val="21"/>
          <w:highlight w:val="none"/>
        </w:rPr>
        <w:tab/>
      </w:r>
      <w:r>
        <w:rPr>
          <w:rFonts w:ascii="宋体" w:hAnsi="宋体" w:cs="宋体"/>
          <w:color w:val="auto"/>
          <w:kern w:val="2"/>
          <w:sz w:val="21"/>
          <w:szCs w:val="21"/>
          <w:highlight w:val="none"/>
        </w:rPr>
        <w:t>物价波动引起价格调整的其他方法见合同条款专用部分。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16.2</w:t>
      </w:r>
      <w:r>
        <w:rPr>
          <w:rFonts w:ascii="宋体" w:hAnsi="宋体"/>
          <w:color w:val="auto"/>
          <w:kern w:val="2"/>
          <w:sz w:val="21"/>
          <w:szCs w:val="21"/>
          <w:highlight w:val="none"/>
        </w:rPr>
        <w:tab/>
      </w:r>
      <w:r>
        <w:rPr>
          <w:rFonts w:ascii="宋体" w:hAnsi="宋体" w:cs="宋体"/>
          <w:color w:val="auto"/>
          <w:kern w:val="2"/>
          <w:sz w:val="21"/>
          <w:szCs w:val="21"/>
          <w:highlight w:val="none"/>
        </w:rPr>
        <w:t>法律变化引起的价格调整在基准日后，因法律变化导致承包人在合同履行中所需要的工程费用发生除第 16.1 款约定以外的增减时，监理人应根据法律、国家或省、自治区、直辖市有关部门的规定，按第3.5 款商定或确定需调整的合同价款。</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17.计量与支付</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w:t>
      </w:r>
      <w:r>
        <w:rPr>
          <w:rFonts w:ascii="宋体" w:hAnsi="宋体"/>
          <w:color w:val="auto"/>
          <w:kern w:val="2"/>
          <w:sz w:val="21"/>
          <w:szCs w:val="21"/>
          <w:highlight w:val="none"/>
        </w:rPr>
        <w:tab/>
      </w:r>
      <w:r>
        <w:rPr>
          <w:rFonts w:ascii="宋体" w:hAnsi="宋体" w:cs="宋体"/>
          <w:color w:val="auto"/>
          <w:kern w:val="2"/>
          <w:sz w:val="21"/>
          <w:szCs w:val="21"/>
          <w:highlight w:val="none"/>
        </w:rPr>
        <w:t>计量</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17.1.1</w:t>
      </w:r>
      <w:r>
        <w:rPr>
          <w:rFonts w:ascii="宋体" w:hAnsi="宋体"/>
          <w:color w:val="auto"/>
          <w:kern w:val="2"/>
          <w:sz w:val="21"/>
          <w:szCs w:val="21"/>
          <w:highlight w:val="none"/>
        </w:rPr>
        <w:tab/>
      </w:r>
      <w:r>
        <w:rPr>
          <w:rFonts w:ascii="宋体" w:hAnsi="宋体" w:cs="宋体"/>
          <w:color w:val="auto"/>
          <w:kern w:val="2"/>
          <w:sz w:val="21"/>
          <w:szCs w:val="21"/>
          <w:highlight w:val="none"/>
        </w:rPr>
        <w:t>计量单位</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计量采用国家法定的计量单位。</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17.1.2</w:t>
      </w:r>
      <w:r>
        <w:rPr>
          <w:rFonts w:ascii="宋体" w:hAnsi="宋体"/>
          <w:color w:val="auto"/>
          <w:kern w:val="2"/>
          <w:sz w:val="21"/>
          <w:szCs w:val="21"/>
          <w:highlight w:val="none"/>
        </w:rPr>
        <w:tab/>
      </w:r>
      <w:r>
        <w:rPr>
          <w:rFonts w:ascii="宋体" w:hAnsi="宋体" w:cs="宋体"/>
          <w:color w:val="auto"/>
          <w:kern w:val="2"/>
          <w:sz w:val="21"/>
          <w:szCs w:val="21"/>
          <w:highlight w:val="none"/>
        </w:rPr>
        <w:t>计量方法</w:t>
      </w:r>
    </w:p>
    <w:p>
      <w:pPr>
        <w:adjustRightInd/>
        <w:ind w:left="360" w:right="346" w:firstLine="420" w:firstLineChars="0"/>
        <w:jc w:val="both"/>
        <w:textAlignment w:val="auto"/>
        <w:rPr>
          <w:rFonts w:ascii="宋体" w:hAnsi="宋体"/>
          <w:color w:val="auto"/>
          <w:kern w:val="2"/>
          <w:sz w:val="21"/>
          <w:szCs w:val="21"/>
          <w:highlight w:val="none"/>
        </w:rPr>
      </w:pPr>
      <w:bookmarkStart w:id="728" w:name="page104"/>
      <w:bookmarkEnd w:id="728"/>
      <w:r>
        <w:rPr>
          <w:rFonts w:ascii="宋体" w:hAnsi="宋体" w:cs="宋体"/>
          <w:color w:val="auto"/>
          <w:kern w:val="2"/>
          <w:sz w:val="21"/>
          <w:szCs w:val="21"/>
          <w:highlight w:val="none"/>
        </w:rPr>
        <w:t>工程量计算规则执行工程量清单中约定的计量计价规范版本。除合同另有约定外，承包人实际完成的工程量按约定的工程量计算规则和有合同约束力的图纸进行计量。</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17.1.3</w:t>
      </w:r>
      <w:r>
        <w:rPr>
          <w:rFonts w:ascii="宋体" w:hAnsi="宋体"/>
          <w:color w:val="auto"/>
          <w:kern w:val="2"/>
          <w:sz w:val="21"/>
          <w:szCs w:val="21"/>
          <w:highlight w:val="none"/>
        </w:rPr>
        <w:tab/>
      </w:r>
      <w:r>
        <w:rPr>
          <w:rFonts w:ascii="宋体" w:hAnsi="宋体" w:cs="宋体"/>
          <w:color w:val="auto"/>
          <w:kern w:val="2"/>
          <w:sz w:val="21"/>
          <w:szCs w:val="21"/>
          <w:highlight w:val="none"/>
        </w:rPr>
        <w:t>计量周期</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（1）本合同的计量周期为月，当月计量截止日期（不含当日）和下月计量起始日期（含当日）见合同条款专用部分。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（2）单价子目已完成工程量是否按月计量见合同条款专用部分。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（3）总价子目计量方法见合同条款专用部分。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17.1.4</w:t>
      </w:r>
      <w:r>
        <w:rPr>
          <w:rFonts w:ascii="宋体" w:hAnsi="宋体"/>
          <w:color w:val="auto"/>
          <w:kern w:val="2"/>
          <w:sz w:val="21"/>
          <w:szCs w:val="21"/>
          <w:highlight w:val="none"/>
        </w:rPr>
        <w:tab/>
      </w:r>
      <w:r>
        <w:rPr>
          <w:rFonts w:ascii="宋体" w:hAnsi="宋体" w:cs="宋体"/>
          <w:color w:val="auto"/>
          <w:kern w:val="2"/>
          <w:sz w:val="21"/>
          <w:szCs w:val="21"/>
          <w:highlight w:val="none"/>
        </w:rPr>
        <w:t>单价子目的计量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（1）已标价工程量清单中的单价子目工程量为估算工程量。结算工程量是承包人实际完成的，并按合同约定的计量方法进行计量的工程量。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（2）承包人对已完成的工程进行计量，向监理人提交进度付款申请单、已完成工程量报表和有关计量资料。</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（3）监理人对承包人提交的工程量报表进行复核，以确定实际完成的工程量。对数量有异议的，可要求承包人按第 8.2 款约定进行共同复核和抽样复测。承包人应协助监理人进行复核并按监理人要求提供补充计量资料。承包人未按监理人要求参加复核，监理人复核或修正的工程量视为承包人实际完成的工程量。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（4）监理人认为有必要时，可通知承包人共同进行联合测量、计量，承包人应遵照执行。</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（6）监理人应在收到承包人提交的工程量报表后的 7 天内进行复核，监理人未在约定时间内复核的，承包人提交的工程量报表中的工程量视为承包人实际完成的工程量，据此计算工程价款。</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17.1.5</w:t>
      </w:r>
      <w:r>
        <w:rPr>
          <w:rFonts w:ascii="宋体" w:hAnsi="宋体"/>
          <w:color w:val="auto"/>
          <w:kern w:val="2"/>
          <w:sz w:val="21"/>
          <w:szCs w:val="21"/>
          <w:highlight w:val="none"/>
        </w:rPr>
        <w:tab/>
      </w:r>
      <w:r>
        <w:rPr>
          <w:rFonts w:ascii="宋体" w:hAnsi="宋体" w:cs="宋体"/>
          <w:color w:val="auto"/>
          <w:kern w:val="2"/>
          <w:sz w:val="21"/>
          <w:szCs w:val="21"/>
          <w:highlight w:val="none"/>
        </w:rPr>
        <w:t>总价子目的计量（适用于采用支付分解报告）</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总价子目按照有合同约束力的支付分解表支付。承包人应根据合同条款第 10 条约定的合同进度计划和总价子目的总价构成、费用性质、计划发生时间和相应工作量等因素对各个总价子目的总价按月进行分解，形成支付分解报告。承包人应当在收到经过监理人批复的合同进度计划后 7 天内，将支付分解报告以及形成支付分解报告的分项计量和总价分解等支持</w:t>
      </w:r>
      <w:bookmarkStart w:id="729" w:name="page105"/>
      <w:bookmarkEnd w:id="729"/>
      <w:r>
        <w:rPr>
          <w:rFonts w:ascii="宋体" w:hAnsi="宋体" w:cs="宋体"/>
          <w:color w:val="auto"/>
          <w:kern w:val="2"/>
          <w:sz w:val="21"/>
          <w:szCs w:val="21"/>
          <w:highlight w:val="none"/>
        </w:rPr>
        <w:t>性资料报监理人审批，监理人应当在收到承包人报送的支付分解报告后 7 天内给予批复或提出修改意见，经监理人批准的支付分解报告为有合同约束力的支付分解表。支付分解表应根据合同条款第 10.2 款约定的修订合同进度计划进行修正，修正的程序和期限应当依照本项上述约定，经修正的支付分解表为有合同约束力的支付分解表。</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（1）总价子目的价格调整方法见合同条款专用部分。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（2）列入每月进度付款申请单中各总价子目的价值为有合同约束力的支付分解表中对应月份的总价子目总价值。</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（3）监理人根据有合同约束力的支付分解表复核列入每月进度付款申请单中的总价子目的总价值。</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（4）除按照第 15 条约定的变更外，在竣工结算时总价子目的工程量不应当重新计量，</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签约合同价所基于的工程量即是用于竣工结算的最终工程量。</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17.1.5</w:t>
      </w:r>
      <w:r>
        <w:rPr>
          <w:rFonts w:ascii="宋体" w:hAnsi="宋体"/>
          <w:color w:val="auto"/>
          <w:kern w:val="2"/>
          <w:sz w:val="21"/>
          <w:szCs w:val="21"/>
          <w:highlight w:val="none"/>
        </w:rPr>
        <w:tab/>
      </w:r>
      <w:r>
        <w:rPr>
          <w:rFonts w:ascii="宋体" w:hAnsi="宋体" w:cs="宋体"/>
          <w:color w:val="auto"/>
          <w:kern w:val="2"/>
          <w:sz w:val="21"/>
          <w:szCs w:val="21"/>
          <w:highlight w:val="none"/>
        </w:rPr>
        <w:t>总价子目的计量（适用于采用按实际完成工程量计量）</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（1）总价子目的计量和支付应以总价为基础，对承包人实际完成的工程量进行计量，</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是进行工程目标管理和控制进度款支付的依据。总价子目的价格调整方法见合同条款专用部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（2）承包人在合同条款专用部分第 17.1.3（1）目约定的每月计量截止日期后，对已</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完成的分部分项工程和单价措施项目的子目，按照合同条款第 17.1.2 项约定的计量方法进</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行计量，对已完成的总价措施项目的相关子目，按其总价构成、费用性质和实际发生比例进</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行计量，向监理人提交进度付款申请单、已完成工程量报表和有关计量资料。</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（3）监理人对承包人提交的工程量报表进行复核，以确定实际完成的工程量。对数量</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有异议的，可要求承包人进行共同复核。承包人应协助监理人进行复核并按监理人要求提供</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补充计量资料。承包人未按监理人要求参加复核，监理人复核或修正的工程量视为承包人实</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际完成的工程量。</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（4）监理人应在收到承包人提交的工程量报表后的 7 天内进行复核，监理人未在约定</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时间内复核的，承包人提交的工程量报表中的工程量视为承包人实际完成的工程量，据此计</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算工程价款。</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（5）除按照第 15 条约定的变更外，在竣工结算时总价子目的工程量不应当重新计量，</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签约合同价所基于的工程量即是用于竣工结算的最终工程量。</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17.2</w:t>
      </w:r>
      <w:r>
        <w:rPr>
          <w:rFonts w:ascii="宋体" w:hAnsi="宋体"/>
          <w:color w:val="auto"/>
          <w:kern w:val="2"/>
          <w:sz w:val="21"/>
          <w:szCs w:val="21"/>
          <w:highlight w:val="none"/>
        </w:rPr>
        <w:tab/>
      </w:r>
      <w:r>
        <w:rPr>
          <w:rFonts w:ascii="宋体" w:hAnsi="宋体" w:cs="宋体"/>
          <w:color w:val="auto"/>
          <w:kern w:val="2"/>
          <w:sz w:val="21"/>
          <w:szCs w:val="21"/>
          <w:highlight w:val="none"/>
        </w:rPr>
        <w:t>预付款</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17.2.1</w:t>
      </w:r>
      <w:r>
        <w:rPr>
          <w:rFonts w:ascii="宋体" w:hAnsi="宋体"/>
          <w:color w:val="auto"/>
          <w:kern w:val="2"/>
          <w:sz w:val="21"/>
          <w:szCs w:val="21"/>
          <w:highlight w:val="none"/>
        </w:rPr>
        <w:tab/>
      </w:r>
      <w:r>
        <w:rPr>
          <w:rFonts w:ascii="宋体" w:hAnsi="宋体" w:cs="宋体"/>
          <w:color w:val="auto"/>
          <w:kern w:val="2"/>
          <w:sz w:val="21"/>
          <w:szCs w:val="21"/>
          <w:highlight w:val="none"/>
        </w:rPr>
        <w:t>预付款</w:t>
      </w:r>
    </w:p>
    <w:p>
      <w:pPr>
        <w:adjustRightInd/>
        <w:ind w:left="360" w:right="346" w:firstLine="420" w:firstLineChars="0"/>
        <w:jc w:val="both"/>
        <w:textAlignment w:val="auto"/>
        <w:rPr>
          <w:rFonts w:ascii="宋体" w:hAnsi="宋体"/>
          <w:color w:val="auto"/>
          <w:kern w:val="2"/>
          <w:sz w:val="21"/>
          <w:szCs w:val="21"/>
          <w:highlight w:val="none"/>
        </w:rPr>
      </w:pPr>
      <w:bookmarkStart w:id="730" w:name="page106"/>
      <w:bookmarkEnd w:id="730"/>
      <w:r>
        <w:rPr>
          <w:rFonts w:ascii="宋体" w:hAnsi="宋体" w:cs="宋体"/>
          <w:color w:val="auto"/>
          <w:kern w:val="2"/>
          <w:sz w:val="21"/>
          <w:szCs w:val="21"/>
          <w:highlight w:val="none"/>
        </w:rPr>
        <w:t>预付款用于承包人为合同工程施工购置材料、工程设备、施工设备、修建临时设施以及组织施工队伍进场等。预付款必须专用于合同工程。预付款的额度和预付办法以及支付时间见合同条款专用部分。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安全文明施工费用的预付不受上述预付办法和支付时间约定的制约，发包人应当在不迟于第 11.1.1 项约定的开工日期前的 7 天内将安全文明施工费用的预付款一次性拨付给承包人。安全文明施工费用预付款额度见合同条款专用部分。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发包人逾期支付合同约定的预付款，除承担第 22.2 款约定的违约责任外，还应向承包人支付按第 17.3.3(2)目约定的标准和方法计算的逾期付款违约金。</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17.2.2</w:t>
      </w:r>
      <w:r>
        <w:rPr>
          <w:rFonts w:ascii="宋体" w:hAnsi="宋体"/>
          <w:color w:val="auto"/>
          <w:kern w:val="2"/>
          <w:sz w:val="21"/>
          <w:szCs w:val="21"/>
          <w:highlight w:val="none"/>
        </w:rPr>
        <w:tab/>
      </w:r>
      <w:r>
        <w:rPr>
          <w:rFonts w:ascii="宋体" w:hAnsi="宋体" w:cs="宋体"/>
          <w:color w:val="auto"/>
          <w:kern w:val="2"/>
          <w:sz w:val="21"/>
          <w:szCs w:val="21"/>
          <w:highlight w:val="none"/>
        </w:rPr>
        <w:t>预付款的扣回与还清</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w:t>
      </w:r>
      <w:r>
        <w:rPr>
          <w:rFonts w:ascii="宋体" w:hAnsi="宋体"/>
          <w:color w:val="auto"/>
          <w:kern w:val="2"/>
          <w:sz w:val="21"/>
          <w:szCs w:val="21"/>
          <w:highlight w:val="none"/>
        </w:rPr>
        <w:tab/>
      </w:r>
      <w:r>
        <w:rPr>
          <w:rFonts w:ascii="宋体" w:hAnsi="宋体" w:cs="宋体"/>
          <w:color w:val="auto"/>
          <w:kern w:val="2"/>
          <w:sz w:val="21"/>
          <w:szCs w:val="21"/>
          <w:highlight w:val="none"/>
        </w:rPr>
        <w:t>工程进度付款</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17.3.1</w:t>
      </w:r>
      <w:r>
        <w:rPr>
          <w:rFonts w:ascii="宋体" w:hAnsi="宋体"/>
          <w:color w:val="auto"/>
          <w:kern w:val="2"/>
          <w:sz w:val="21"/>
          <w:szCs w:val="21"/>
          <w:highlight w:val="none"/>
        </w:rPr>
        <w:tab/>
      </w:r>
      <w:r>
        <w:rPr>
          <w:rFonts w:ascii="宋体" w:hAnsi="宋体" w:cs="宋体"/>
          <w:color w:val="auto"/>
          <w:kern w:val="2"/>
          <w:sz w:val="21"/>
          <w:szCs w:val="21"/>
          <w:highlight w:val="none"/>
        </w:rPr>
        <w:t>付款周期</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付款周期同计量周期。</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17.3.2</w:t>
      </w:r>
      <w:r>
        <w:rPr>
          <w:rFonts w:ascii="宋体" w:hAnsi="宋体"/>
          <w:color w:val="auto"/>
          <w:kern w:val="2"/>
          <w:sz w:val="21"/>
          <w:szCs w:val="21"/>
          <w:highlight w:val="none"/>
        </w:rPr>
        <w:tab/>
      </w:r>
      <w:r>
        <w:rPr>
          <w:rFonts w:ascii="宋体" w:hAnsi="宋体" w:cs="宋体"/>
          <w:color w:val="auto"/>
          <w:kern w:val="2"/>
          <w:sz w:val="21"/>
          <w:szCs w:val="21"/>
          <w:highlight w:val="none"/>
        </w:rPr>
        <w:t>进度付款申请单</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承包人应在每个付款周期末，按监理人批准的格式和合同约定的份数，向监理人提交进度付款申请单，并附相应的支持性证明文件。承包人提交进度付款申请单份数见合同条款专用部分。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承包人报送监理人的进度付款申请单应包括下列内容：</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（1）截至本次付款周期末已实施工程的价款；</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（2）根据第 15 条应增加和扣减的变更金额；</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（3）根据第 23 条应增加和扣减的索赔金额；</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（4）根据第 17.2 款约定应支付的预付款和扣减的返还预付款；</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（5）根据第 17.4.1 项约定应扣减的质量保证金；</w:t>
      </w:r>
    </w:p>
    <w:p>
      <w:pPr>
        <w:adjustRightInd/>
        <w:ind w:left="6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（6）根据合同应增加和（或）扣减的其他内容金额见合同条款专用部分。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17.3.3</w:t>
      </w:r>
      <w:r>
        <w:rPr>
          <w:rFonts w:ascii="宋体" w:hAnsi="宋体"/>
          <w:color w:val="auto"/>
          <w:kern w:val="2"/>
          <w:sz w:val="21"/>
          <w:szCs w:val="21"/>
          <w:highlight w:val="none"/>
        </w:rPr>
        <w:tab/>
      </w:r>
      <w:r>
        <w:rPr>
          <w:rFonts w:ascii="宋体" w:hAnsi="宋体" w:cs="宋体"/>
          <w:color w:val="auto"/>
          <w:kern w:val="2"/>
          <w:sz w:val="21"/>
          <w:szCs w:val="21"/>
          <w:highlight w:val="none"/>
        </w:rPr>
        <w:t>进度付款证书和支付时间</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（1）监理人在收到承包人进度付款申请单以及相应的支持性证明文件后的 14 天内完成核查，提出发包人到期应支付给承包人的金额以及相应的支持性材料，经发包人审查同意后，</w:t>
      </w:r>
      <w:bookmarkStart w:id="731" w:name="page107"/>
      <w:bookmarkEnd w:id="731"/>
      <w:r>
        <w:rPr>
          <w:rFonts w:ascii="宋体" w:hAnsi="宋体" w:cs="宋体"/>
          <w:color w:val="auto"/>
          <w:kern w:val="2"/>
          <w:sz w:val="21"/>
          <w:szCs w:val="21"/>
          <w:highlight w:val="none"/>
        </w:rPr>
        <w:t>由监理人向承包人出具经发包人签认的进度付款证书。监理人有权扣发承包人未能按照合同要求履行任何工作或义务的相应金额。</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 22.2 款约定的其他违约责任的权利。逾期付款违约金计算标准和计算方法见合同条款专用部分。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（3）监理人出具进度付款证书，不应视为监理人已同意、批准或接受了承包人完成的该部分工作。</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（4）进度付款涉及政府投资资金的，按照国库集中支付等国家相关规定和合同约定办理。进度付款涉及政府性资金的支付方法见合同条款专用部分。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17.3.4</w:t>
      </w:r>
      <w:r>
        <w:rPr>
          <w:rFonts w:ascii="宋体" w:hAnsi="宋体"/>
          <w:color w:val="auto"/>
          <w:kern w:val="2"/>
          <w:sz w:val="21"/>
          <w:szCs w:val="21"/>
          <w:highlight w:val="none"/>
        </w:rPr>
        <w:tab/>
      </w:r>
      <w:r>
        <w:rPr>
          <w:rFonts w:ascii="宋体" w:hAnsi="宋体" w:cs="宋体"/>
          <w:color w:val="auto"/>
          <w:kern w:val="2"/>
          <w:sz w:val="21"/>
          <w:szCs w:val="21"/>
          <w:highlight w:val="none"/>
        </w:rPr>
        <w:t>工程进度付款的修正</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17.3.5</w:t>
      </w:r>
      <w:r>
        <w:rPr>
          <w:rFonts w:ascii="宋体" w:hAnsi="宋体"/>
          <w:color w:val="auto"/>
          <w:kern w:val="2"/>
          <w:sz w:val="21"/>
          <w:szCs w:val="21"/>
          <w:highlight w:val="none"/>
        </w:rPr>
        <w:tab/>
      </w:r>
      <w:r>
        <w:rPr>
          <w:rFonts w:ascii="宋体" w:hAnsi="宋体" w:cs="宋体"/>
          <w:color w:val="auto"/>
          <w:kern w:val="2"/>
          <w:sz w:val="21"/>
          <w:szCs w:val="21"/>
          <w:highlight w:val="none"/>
        </w:rPr>
        <w:t>临时付款证书</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在合同约定的期限内，承包人和监理人无法对当期已完工程量和按合同约定应当支付的其他款项达成一致的，监理人应当在收到承包人报送的进度付款申请单等文件后 14 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 28 天内，将临时付款证书中确定的应付金额支付给承包人。发包人和监理人均不得以任何理由延期支付工程进度付款。</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对临时付款证书中承包人有异议部分的金额，承包人应当按照监理人要求，提交进一步的支持性文件，经监理人进一步审核并认可的应付金额，应当按第 17.3.4 项的约定纳入到下一期进度付款证书中。经过进一步努力，承包人仍有异议的，按合同条款第 24 条的约定办理。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有异议款项中经监理人进一步审核后认可的，或者经过合同条款第 24 条约定的争议解</w:t>
      </w:r>
      <w:bookmarkStart w:id="732" w:name="page108"/>
      <w:bookmarkEnd w:id="732"/>
      <w:r>
        <w:rPr>
          <w:rFonts w:ascii="宋体" w:hAnsi="宋体" w:cs="宋体"/>
          <w:color w:val="auto"/>
          <w:kern w:val="2"/>
          <w:sz w:val="21"/>
          <w:szCs w:val="21"/>
          <w:highlight w:val="none"/>
        </w:rPr>
        <w:t>决方式确定的应付金额，其应付之日为引发异议的进度付款证书的应付之日，承包人有权得</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到按第 17.3.3（2）目约定计算的逾期付款违约金。</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17.4</w:t>
      </w:r>
      <w:r>
        <w:rPr>
          <w:rFonts w:ascii="宋体" w:hAnsi="宋体"/>
          <w:color w:val="auto"/>
          <w:kern w:val="2"/>
          <w:sz w:val="21"/>
          <w:szCs w:val="21"/>
          <w:highlight w:val="none"/>
        </w:rPr>
        <w:tab/>
      </w:r>
      <w:r>
        <w:rPr>
          <w:rFonts w:ascii="宋体" w:hAnsi="宋体" w:cs="宋体"/>
          <w:color w:val="auto"/>
          <w:kern w:val="2"/>
          <w:sz w:val="21"/>
          <w:szCs w:val="21"/>
          <w:highlight w:val="none"/>
        </w:rPr>
        <w:t>质量保证金</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17.4.1</w:t>
      </w:r>
      <w:r>
        <w:rPr>
          <w:rFonts w:ascii="宋体" w:hAnsi="宋体"/>
          <w:color w:val="auto"/>
          <w:kern w:val="2"/>
          <w:sz w:val="21"/>
          <w:szCs w:val="21"/>
          <w:highlight w:val="none"/>
        </w:rPr>
        <w:tab/>
      </w:r>
      <w:r>
        <w:rPr>
          <w:rFonts w:ascii="宋体" w:hAnsi="宋体" w:cs="宋体"/>
          <w:color w:val="auto"/>
          <w:kern w:val="2"/>
          <w:sz w:val="21"/>
          <w:szCs w:val="21"/>
          <w:highlight w:val="none"/>
        </w:rPr>
        <w:t>质量保证金处理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（1）合同条款专用部分第 4.2.1 项约定不提交履约担保，采用扣留质量保证金的，质量保证金由监理人从第一个付款周期开始按进度付款证书确认的已实施工程的价款、根据合同条款第 15 条增加和扣减的变更金额、根据合同条款第 23 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（2）合同条款专用部分第 4.2.1 项约定提交履约担保，采用扣留质量保证金的，在第 17.5 款竣工结算中，应当按照竣工结算合同总价约定的比例扣留质量保证金，当应支付的竣工付款金额不足应扣留的质量保证金金额时，承包人应返款差额部分；采用质量保证金保函担保形式的，工程竣工前，不得扣留质量保证金；</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（3）质量保证金的形式与约定比例见合同条款专用部分。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17.4.2 在第 1.1.4.5 目约定的缺陷责任期满时，承包人向发包人申请到期应返还承包人剩余的质量保证金金额或退还保函担保，发包人应在 14 天内会同承包人按照合同约定的内容核实承包人是否完成缺陷责任。如无异议，发包人应当在核实后将剩余保证金返还承包人或将其保函退还承包人。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17.4.3 在第 1.1.4.5 目约定的缺陷责任期满时，承包人没有完成缺陷责任的，发包人有权扣留与未履行责任剩余工作所需金额相应的质量保证金余额或依据其保函担保约定追究责任，并有权根据第 19.3 款约定要求延长缺陷责任期，直至完成剩余工作为止。</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17.5</w:t>
      </w:r>
      <w:r>
        <w:rPr>
          <w:rFonts w:ascii="宋体" w:hAnsi="宋体"/>
          <w:color w:val="auto"/>
          <w:kern w:val="2"/>
          <w:sz w:val="21"/>
          <w:szCs w:val="21"/>
          <w:highlight w:val="none"/>
        </w:rPr>
        <w:tab/>
      </w:r>
      <w:r>
        <w:rPr>
          <w:rFonts w:ascii="宋体" w:hAnsi="宋体" w:cs="宋体"/>
          <w:color w:val="auto"/>
          <w:kern w:val="2"/>
          <w:sz w:val="21"/>
          <w:szCs w:val="21"/>
          <w:highlight w:val="none"/>
        </w:rPr>
        <w:t>竣工结算</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17.5.1</w:t>
      </w:r>
      <w:r>
        <w:rPr>
          <w:rFonts w:ascii="宋体" w:hAnsi="宋体"/>
          <w:color w:val="auto"/>
          <w:kern w:val="2"/>
          <w:sz w:val="21"/>
          <w:szCs w:val="21"/>
          <w:highlight w:val="none"/>
        </w:rPr>
        <w:tab/>
      </w:r>
      <w:r>
        <w:rPr>
          <w:rFonts w:ascii="宋体" w:hAnsi="宋体" w:cs="宋体"/>
          <w:color w:val="auto"/>
          <w:kern w:val="2"/>
          <w:sz w:val="21"/>
          <w:szCs w:val="21"/>
          <w:highlight w:val="none"/>
        </w:rPr>
        <w:t>竣工付款申请单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（1）工程接收证书颁发后，承包人应按合同约定的份数和期限向监理人提交竣工付款</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申请单，并提供相关证明材料。承包人提交竣工付款申请单份数和期限见合同条款专用部分。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（2）竣工付款申请单应包括下列内容：竣工结算合同总价、发包人已支付承包人的工</w:t>
      </w:r>
    </w:p>
    <w:p>
      <w:pPr>
        <w:adjustRightInd/>
        <w:ind w:left="360" w:right="346" w:firstLine="0" w:firstLineChars="0"/>
        <w:jc w:val="both"/>
        <w:textAlignment w:val="auto"/>
        <w:rPr>
          <w:rFonts w:ascii="宋体" w:hAnsi="宋体"/>
          <w:color w:val="auto"/>
          <w:kern w:val="2"/>
          <w:sz w:val="21"/>
          <w:szCs w:val="21"/>
          <w:highlight w:val="none"/>
        </w:rPr>
      </w:pPr>
      <w:bookmarkStart w:id="733" w:name="page109"/>
      <w:bookmarkEnd w:id="733"/>
      <w:r>
        <w:rPr>
          <w:rFonts w:ascii="宋体" w:hAnsi="宋体" w:cs="宋体"/>
          <w:color w:val="auto"/>
          <w:kern w:val="2"/>
          <w:sz w:val="21"/>
          <w:szCs w:val="21"/>
          <w:highlight w:val="none"/>
        </w:rPr>
        <w:t>程价款、应扣留的质量保证金、应支付的竣工付款金额和应支付或扣减的其他内容金额。竣工付款申请单的其他内容见合同条款专用部分。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（3）监理人对竣工付款申请单有异议的，有权要求承包人进行修正和提供补充资料。</w:t>
      </w:r>
    </w:p>
    <w:p>
      <w:pPr>
        <w:adjustRightInd/>
        <w:ind w:left="360" w:leftChars="150" w:firstLine="42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经监理人和承包人协商后，由承包人向监理人提交修正后的竣工付款申请单。</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（4）承包人未按本项约定的期限和内容提交竣工付款申请单或者未按第 17.5.1（3)目约定提交修正后的竣工付款申请单，经监理人催促后 14 天内仍未提交或者没有明确答复的，监理人和发包人有权根据已有资料进行审查，审查确定的竣工结算合同总价和竣工付款金额视同是经承包人认可的工程竣工结算合同总价和竣工付款金额。</w:t>
      </w:r>
    </w:p>
    <w:p>
      <w:pPr>
        <w:adjustRightInd/>
        <w:ind w:firstLine="0" w:firstLineChars="0"/>
        <w:jc w:val="both"/>
        <w:textAlignment w:val="auto"/>
        <w:rPr>
          <w:rFonts w:ascii="宋体" w:hAnsi="宋体"/>
          <w:color w:val="auto"/>
          <w:kern w:val="2"/>
          <w:sz w:val="21"/>
          <w:szCs w:val="21"/>
          <w:highlight w:val="none"/>
        </w:rPr>
      </w:pP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17.5.2</w:t>
      </w:r>
      <w:r>
        <w:rPr>
          <w:rFonts w:ascii="宋体" w:hAnsi="宋体"/>
          <w:color w:val="auto"/>
          <w:kern w:val="2"/>
          <w:sz w:val="21"/>
          <w:szCs w:val="21"/>
          <w:highlight w:val="none"/>
        </w:rPr>
        <w:tab/>
      </w:r>
      <w:r>
        <w:rPr>
          <w:rFonts w:ascii="宋体" w:hAnsi="宋体" w:cs="宋体"/>
          <w:color w:val="auto"/>
          <w:kern w:val="2"/>
          <w:sz w:val="21"/>
          <w:szCs w:val="21"/>
          <w:highlight w:val="none"/>
        </w:rPr>
        <w:t>竣工付款证书及支付时间</w:t>
      </w:r>
    </w:p>
    <w:p>
      <w:pPr>
        <w:adjustRightInd/>
        <w:ind w:firstLine="0" w:firstLineChars="0"/>
        <w:jc w:val="both"/>
        <w:textAlignment w:val="auto"/>
        <w:rPr>
          <w:rFonts w:ascii="宋体" w:hAnsi="宋体"/>
          <w:color w:val="auto"/>
          <w:kern w:val="2"/>
          <w:sz w:val="21"/>
          <w:szCs w:val="21"/>
          <w:highlight w:val="none"/>
        </w:rPr>
      </w:pP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（1）监理人在收到承包人提交的竣工付款申请单后的 14 天内完成审核，并提出发包人到期应支付给承包人的价款等审核意见，报送发包人审核。发包人应在收到后 14 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（2）发包人应在监理人出具竣工付款证书后的 14 天内，将应支付款支付给承包人。发包人不按期支付的，按第 17.3.3（2）目的约定，将逾期付款违约金支付给承包人。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（3）承包人对发包人签认的竣工付款证书有异议的，发包人可出具竣工付款申请单中与承包人达成一致意见部分的临时付款证书。存在争议的部分，按第24条</w:t>
      </w:r>
      <w:r>
        <w:rPr>
          <w:rFonts w:ascii="宋体" w:hAnsi="宋体" w:cs="Arial"/>
          <w:color w:val="auto"/>
          <w:kern w:val="2"/>
          <w:sz w:val="21"/>
          <w:szCs w:val="21"/>
          <w:highlight w:val="none"/>
        </w:rPr>
        <w:t>“</w:t>
      </w:r>
      <w:r>
        <w:rPr>
          <w:rFonts w:ascii="宋体" w:hAnsi="宋体" w:cs="宋体"/>
          <w:color w:val="auto"/>
          <w:kern w:val="2"/>
          <w:sz w:val="21"/>
          <w:szCs w:val="21"/>
          <w:highlight w:val="none"/>
        </w:rPr>
        <w:t>争议的解决</w:t>
      </w:r>
      <w:r>
        <w:rPr>
          <w:rFonts w:ascii="宋体" w:hAnsi="宋体" w:cs="Arial"/>
          <w:color w:val="auto"/>
          <w:kern w:val="2"/>
          <w:sz w:val="21"/>
          <w:szCs w:val="21"/>
          <w:highlight w:val="none"/>
        </w:rPr>
        <w:t>”</w:t>
      </w:r>
      <w:r>
        <w:rPr>
          <w:rFonts w:ascii="宋体" w:hAnsi="宋体" w:cs="宋体"/>
          <w:color w:val="auto"/>
          <w:kern w:val="2"/>
          <w:sz w:val="21"/>
          <w:szCs w:val="21"/>
          <w:highlight w:val="none"/>
        </w:rPr>
        <w:t>的约定办理。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（4）竣工付款涉及政府投资资金的，按第 17.3.3（4）目的约定办理。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17.5.3 除第 17.5.4 项约定的情况外，发包人和承包人应当在监理人颁发（出具）工程接收证书后 56 天内办清竣工结算和竣工付款。</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17.5.4 政府投资或者以政府投资为主的建设项目纳入审计项目计划的，发包人和承包人均负有配合、接受审计机关审计的义务，竣工结算应当依据审计结论，办清竣工结算和竣工付款的时间按照相关规定执行。</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17.6</w:t>
      </w:r>
      <w:r>
        <w:rPr>
          <w:rFonts w:ascii="宋体" w:hAnsi="宋体"/>
          <w:color w:val="auto"/>
          <w:kern w:val="2"/>
          <w:sz w:val="21"/>
          <w:szCs w:val="21"/>
          <w:highlight w:val="none"/>
        </w:rPr>
        <w:tab/>
      </w:r>
      <w:r>
        <w:rPr>
          <w:rFonts w:ascii="宋体" w:hAnsi="宋体" w:cs="宋体"/>
          <w:color w:val="auto"/>
          <w:kern w:val="2"/>
          <w:sz w:val="21"/>
          <w:szCs w:val="21"/>
          <w:highlight w:val="none"/>
        </w:rPr>
        <w:t>最终结清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17.6.1</w:t>
      </w:r>
      <w:r>
        <w:rPr>
          <w:rFonts w:ascii="宋体" w:hAnsi="宋体"/>
          <w:color w:val="auto"/>
          <w:kern w:val="2"/>
          <w:sz w:val="21"/>
          <w:szCs w:val="21"/>
          <w:highlight w:val="none"/>
        </w:rPr>
        <w:tab/>
      </w:r>
      <w:r>
        <w:rPr>
          <w:rFonts w:ascii="宋体" w:hAnsi="宋体" w:cs="宋体"/>
          <w:color w:val="auto"/>
          <w:kern w:val="2"/>
          <w:sz w:val="21"/>
          <w:szCs w:val="21"/>
          <w:highlight w:val="none"/>
        </w:rPr>
        <w:t>最终结清申请单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（1）缺陷责任期终止证书签发后，承包人可按合同约定的份数和期限向监理人提交最</w:t>
      </w:r>
    </w:p>
    <w:p>
      <w:pPr>
        <w:adjustRightInd/>
        <w:ind w:right="-13" w:firstLine="0" w:firstLineChars="0"/>
        <w:jc w:val="center"/>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终结清申请单，并提供相关证明材料。承包人提交最终结清申请单的份数和期限见合同条款</w:t>
      </w:r>
      <w:bookmarkStart w:id="734" w:name="page110"/>
      <w:bookmarkEnd w:id="734"/>
    </w:p>
    <w:p>
      <w:pPr>
        <w:adjustRightInd/>
        <w:ind w:right="-13" w:firstLine="315" w:firstLineChars="150"/>
        <w:textAlignment w:val="auto"/>
        <w:rPr>
          <w:rFonts w:ascii="宋体" w:hAnsi="宋体"/>
          <w:color w:val="auto"/>
          <w:kern w:val="2"/>
          <w:sz w:val="21"/>
          <w:szCs w:val="21"/>
          <w:highlight w:val="none"/>
        </w:rPr>
      </w:pPr>
      <w:r>
        <w:rPr>
          <w:rFonts w:ascii="宋体" w:hAnsi="宋体" w:cs="宋体"/>
          <w:color w:val="auto"/>
          <w:kern w:val="2"/>
          <w:sz w:val="21"/>
          <w:szCs w:val="21"/>
          <w:highlight w:val="none"/>
        </w:rPr>
        <w:t>专用部分。</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发包人向承包人支付质量保证金利息的，承包人应按照约定的利息计算方法计算利息，并列入最终结清申请单中。是否支付质量保证金利息及利息计算方法见合同条款专用部分。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（2）发包人对最终结清申请单内容有异议的，有权要求承包人进行修正和提供补充资料，由承包人向监理人提交修正后的最终结清申请单。</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17.6.2</w:t>
      </w:r>
      <w:r>
        <w:rPr>
          <w:rFonts w:ascii="宋体" w:hAnsi="宋体"/>
          <w:color w:val="auto"/>
          <w:kern w:val="2"/>
          <w:sz w:val="21"/>
          <w:szCs w:val="21"/>
          <w:highlight w:val="none"/>
        </w:rPr>
        <w:tab/>
      </w:r>
      <w:r>
        <w:rPr>
          <w:rFonts w:ascii="宋体" w:hAnsi="宋体" w:cs="宋体"/>
          <w:color w:val="auto"/>
          <w:kern w:val="2"/>
          <w:sz w:val="21"/>
          <w:szCs w:val="21"/>
          <w:highlight w:val="none"/>
        </w:rPr>
        <w:t>最终结清证书和支付时间</w:t>
      </w:r>
    </w:p>
    <w:p>
      <w:pPr>
        <w:adjustRightInd/>
        <w:ind w:left="360" w:right="26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（2）发包人应在监理人出具最终结清证书后的 14 天内，将应支付款支付给承包人。发包人不按期支付的，按第 17.3.3（2）目的约定，将逾期付款违约金支付给承包人。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（3）承包人对发包人签认的最终结清证书有异议的，按第24条</w:t>
      </w:r>
      <w:r>
        <w:rPr>
          <w:rFonts w:ascii="宋体" w:hAnsi="宋体" w:cs="Arial"/>
          <w:color w:val="auto"/>
          <w:kern w:val="2"/>
          <w:sz w:val="21"/>
          <w:szCs w:val="21"/>
          <w:highlight w:val="none"/>
        </w:rPr>
        <w:t>“</w:t>
      </w:r>
      <w:r>
        <w:rPr>
          <w:rFonts w:ascii="宋体" w:hAnsi="宋体" w:cs="宋体"/>
          <w:color w:val="auto"/>
          <w:kern w:val="2"/>
          <w:sz w:val="21"/>
          <w:szCs w:val="21"/>
          <w:highlight w:val="none"/>
        </w:rPr>
        <w:t>争议的解决</w:t>
      </w:r>
      <w:r>
        <w:rPr>
          <w:rFonts w:ascii="宋体" w:hAnsi="宋体" w:cs="Arial"/>
          <w:color w:val="auto"/>
          <w:kern w:val="2"/>
          <w:sz w:val="21"/>
          <w:szCs w:val="21"/>
          <w:highlight w:val="none"/>
        </w:rPr>
        <w:t>”</w:t>
      </w:r>
      <w:r>
        <w:rPr>
          <w:rFonts w:ascii="宋体" w:hAnsi="宋体" w:cs="宋体"/>
          <w:color w:val="auto"/>
          <w:kern w:val="2"/>
          <w:sz w:val="21"/>
          <w:szCs w:val="21"/>
          <w:highlight w:val="none"/>
        </w:rPr>
        <w:t>的约定办理。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（4）最终结清付款涉及政府投资资金的，按第 17.3.3（4）目的约定办理。</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18.竣工验收</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18.1</w:t>
      </w:r>
      <w:r>
        <w:rPr>
          <w:rFonts w:ascii="宋体" w:hAnsi="宋体"/>
          <w:color w:val="auto"/>
          <w:kern w:val="2"/>
          <w:sz w:val="21"/>
          <w:szCs w:val="21"/>
          <w:highlight w:val="none"/>
        </w:rPr>
        <w:tab/>
      </w:r>
      <w:r>
        <w:rPr>
          <w:rFonts w:ascii="宋体" w:hAnsi="宋体" w:cs="宋体"/>
          <w:color w:val="auto"/>
          <w:kern w:val="2"/>
          <w:sz w:val="21"/>
          <w:szCs w:val="21"/>
          <w:highlight w:val="none"/>
        </w:rPr>
        <w:t>竣工验收的含义</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18.1.1</w:t>
      </w:r>
      <w:r>
        <w:rPr>
          <w:rFonts w:ascii="宋体" w:hAnsi="宋体"/>
          <w:color w:val="auto"/>
          <w:kern w:val="2"/>
          <w:sz w:val="21"/>
          <w:szCs w:val="21"/>
          <w:highlight w:val="none"/>
        </w:rPr>
        <w:tab/>
      </w:r>
      <w:r>
        <w:rPr>
          <w:rFonts w:ascii="宋体" w:hAnsi="宋体" w:cs="宋体"/>
          <w:color w:val="auto"/>
          <w:kern w:val="2"/>
          <w:sz w:val="21"/>
          <w:szCs w:val="21"/>
          <w:highlight w:val="none"/>
        </w:rPr>
        <w:t>竣工验收指承包人完成了全部合同工作后，发包人按合同要求进行的验收。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18.1.2</w:t>
      </w:r>
      <w:r>
        <w:rPr>
          <w:rFonts w:ascii="宋体" w:hAnsi="宋体"/>
          <w:color w:val="auto"/>
          <w:kern w:val="2"/>
          <w:sz w:val="21"/>
          <w:szCs w:val="21"/>
          <w:highlight w:val="none"/>
        </w:rPr>
        <w:tab/>
      </w:r>
      <w:r>
        <w:rPr>
          <w:rFonts w:ascii="宋体" w:hAnsi="宋体" w:cs="宋体"/>
          <w:color w:val="auto"/>
          <w:kern w:val="2"/>
          <w:sz w:val="21"/>
          <w:szCs w:val="21"/>
          <w:highlight w:val="none"/>
        </w:rPr>
        <w:t>国家验收是政府有关部门根据法律、规范、规程和政策要求，针对发包人全面</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组织实施的整个工程正式交付投运前的验收。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18.1.3</w:t>
      </w:r>
      <w:r>
        <w:rPr>
          <w:rFonts w:ascii="宋体" w:hAnsi="宋体"/>
          <w:color w:val="auto"/>
          <w:kern w:val="2"/>
          <w:sz w:val="21"/>
          <w:szCs w:val="21"/>
          <w:highlight w:val="none"/>
        </w:rPr>
        <w:tab/>
      </w:r>
      <w:r>
        <w:rPr>
          <w:rFonts w:ascii="宋体" w:hAnsi="宋体" w:cs="宋体"/>
          <w:color w:val="auto"/>
          <w:kern w:val="2"/>
          <w:sz w:val="21"/>
          <w:szCs w:val="21"/>
          <w:highlight w:val="none"/>
        </w:rPr>
        <w:t>需要进行国家验收的，竣工验收是国家验收的一部分。竣工验收所采用的各项验收和评定标准应符合国家验收标准。发包人和承包人为竣工验收提供的各项竣工验收资料</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应符合国家验收的要求。</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18.2</w:t>
      </w:r>
      <w:r>
        <w:rPr>
          <w:rFonts w:ascii="宋体" w:hAnsi="宋体"/>
          <w:color w:val="auto"/>
          <w:kern w:val="2"/>
          <w:sz w:val="21"/>
          <w:szCs w:val="21"/>
          <w:highlight w:val="none"/>
        </w:rPr>
        <w:tab/>
      </w:r>
      <w:r>
        <w:rPr>
          <w:rFonts w:ascii="宋体" w:hAnsi="宋体" w:cs="宋体"/>
          <w:color w:val="auto"/>
          <w:kern w:val="2"/>
          <w:sz w:val="21"/>
          <w:szCs w:val="21"/>
          <w:highlight w:val="none"/>
        </w:rPr>
        <w:t>竣工验收申请报告</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当工程具备以下条件时，承包人即可向监理人报送竣工验收申请报告：</w:t>
      </w:r>
    </w:p>
    <w:p>
      <w:pPr>
        <w:adjustRightInd/>
        <w:ind w:left="780" w:firstLine="0" w:firstLineChars="0"/>
        <w:textAlignment w:val="auto"/>
        <w:rPr>
          <w:rFonts w:ascii="宋体" w:hAnsi="宋体"/>
          <w:color w:val="auto"/>
          <w:kern w:val="2"/>
          <w:sz w:val="21"/>
          <w:szCs w:val="21"/>
          <w:highlight w:val="none"/>
        </w:rPr>
      </w:pPr>
      <w:r>
        <w:rPr>
          <w:rFonts w:ascii="宋体" w:hAnsi="宋体" w:cs="宋体"/>
          <w:color w:val="auto"/>
          <w:kern w:val="2"/>
          <w:sz w:val="21"/>
          <w:szCs w:val="21"/>
          <w:highlight w:val="none"/>
        </w:rPr>
        <w:t>（1）除监理人同意列入缺陷责任期内完成的尾工（甩项）工程和缺陷修补工作外，合同范围内的全部单位工程以及有关工作，包括合同要求的试验、试运行以及检验和验收均已</w:t>
      </w:r>
      <w:bookmarkStart w:id="735" w:name="page111"/>
      <w:bookmarkEnd w:id="735"/>
      <w:r>
        <w:rPr>
          <w:rFonts w:ascii="宋体" w:hAnsi="宋体" w:cs="宋体"/>
          <w:color w:val="auto"/>
          <w:kern w:val="2"/>
          <w:sz w:val="21"/>
          <w:szCs w:val="21"/>
          <w:highlight w:val="none"/>
        </w:rPr>
        <w:t>完成，并符合合同要求；</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（2）承包人负责整理和提交的竣工验收资料应当符合工程所在地建设行政主管部门和（或）城市建设档案管理机构有关施工资料的要求，同时已按合同条款专用部分约定备齐了</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符合要求的竣工资料。竣工验收资料的内容和份数以及费用支付方式见合同条款专用部分。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（3）已按监理人的要求编制了在缺陷责任期内需完成的尾工（甩项）工程，和缺陷修补工作清单等相应施工计划；</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（4）监理人要求在竣工验收前应完成的其他工作；</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（5）监理人要求提交的竣工验收资料清单。</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18.3</w:t>
      </w:r>
      <w:r>
        <w:rPr>
          <w:rFonts w:ascii="宋体" w:hAnsi="宋体"/>
          <w:color w:val="auto"/>
          <w:kern w:val="2"/>
          <w:sz w:val="21"/>
          <w:szCs w:val="21"/>
          <w:highlight w:val="none"/>
        </w:rPr>
        <w:tab/>
      </w:r>
      <w:r>
        <w:rPr>
          <w:rFonts w:ascii="宋体" w:hAnsi="宋体" w:cs="宋体"/>
          <w:color w:val="auto"/>
          <w:kern w:val="2"/>
          <w:sz w:val="21"/>
          <w:szCs w:val="21"/>
          <w:highlight w:val="none"/>
        </w:rPr>
        <w:t>验收</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监理人收到承包人按第 18.2 款约定提交的竣工验收申请报告后，应审查申请报告的各项内容，并按以下不同情况进行处理。</w:t>
      </w:r>
    </w:p>
    <w:p>
      <w:pPr>
        <w:tabs>
          <w:tab w:val="left" w:pos="1600"/>
        </w:tabs>
        <w:adjustRightInd/>
        <w:ind w:left="7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18.3.1</w:t>
      </w:r>
      <w:r>
        <w:rPr>
          <w:rFonts w:ascii="宋体" w:hAnsi="宋体"/>
          <w:color w:val="auto"/>
          <w:kern w:val="2"/>
          <w:sz w:val="21"/>
          <w:szCs w:val="21"/>
          <w:highlight w:val="none"/>
        </w:rPr>
        <w:tab/>
      </w:r>
      <w:r>
        <w:rPr>
          <w:rFonts w:ascii="宋体" w:hAnsi="宋体" w:cs="宋体"/>
          <w:color w:val="auto"/>
          <w:kern w:val="2"/>
          <w:sz w:val="21"/>
          <w:szCs w:val="21"/>
          <w:highlight w:val="none"/>
        </w:rPr>
        <w:t>监理人审查后认为尚不具备竣工验收条件的，应在收到竣工验收申请报告后的天内通知承包人，并指出在颁发接收证书前承包人需进行的工作内容。承包人完成监理人通知的全部工作内容后，应再次提交竣工验收申请报告，直至监理人同意为止。</w:t>
      </w:r>
    </w:p>
    <w:p>
      <w:pPr>
        <w:adjustRightInd/>
        <w:ind w:left="7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18.3.2  监理人审查后认为已具备竣工验收条件的，应在收到竣工验收申请报告后的天内提请发包人进行工程验收。</w:t>
      </w:r>
    </w:p>
    <w:p>
      <w:pPr>
        <w:tabs>
          <w:tab w:val="left" w:pos="1600"/>
        </w:tabs>
        <w:adjustRightInd/>
        <w:ind w:left="78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18.3.3</w:t>
      </w:r>
      <w:r>
        <w:rPr>
          <w:rFonts w:ascii="宋体" w:hAnsi="宋体"/>
          <w:color w:val="auto"/>
          <w:kern w:val="2"/>
          <w:sz w:val="21"/>
          <w:szCs w:val="21"/>
          <w:highlight w:val="none"/>
        </w:rPr>
        <w:tab/>
      </w:r>
      <w:r>
        <w:rPr>
          <w:rFonts w:ascii="宋体" w:hAnsi="宋体" w:cs="宋体"/>
          <w:color w:val="auto"/>
          <w:kern w:val="2"/>
          <w:sz w:val="21"/>
          <w:szCs w:val="21"/>
          <w:highlight w:val="none"/>
        </w:rPr>
        <w:t>发包人经过验收后同意接受工程的，应在监理人收到竣工验收申请报告后的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adjustRightInd/>
        <w:ind w:left="360" w:right="246" w:firstLine="42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 18.3.1 项、第 18.3.2 项和第 18.3.3 项的约定进行。</w:t>
      </w:r>
    </w:p>
    <w:p>
      <w:pPr>
        <w:adjustRightInd/>
        <w:ind w:left="360" w:right="346" w:firstLine="42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18.3.5 经验收合格的工程, 实际竣工日期为承包人按照第 18.2 款提交竣工验收申请报告或按照本款重新提交竣工验收申请报告的日期（以两者中时间在后者为准）。</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18.3.6 发包人在收到承包人竣工验收申请报告 56 天后未进行验收的，视为验收合格，实际竣工日期以提交竣工验收申请报告的日期为准，但发包人由于不可抗力不能进行验收的除外。</w:t>
      </w:r>
      <w:bookmarkStart w:id="736" w:name="page112"/>
      <w:bookmarkEnd w:id="736"/>
      <w:r>
        <w:rPr>
          <w:rFonts w:ascii="宋体" w:hAnsi="宋体"/>
          <w:color w:val="auto"/>
          <w:kern w:val="2"/>
          <w:sz w:val="21"/>
          <w:szCs w:val="21"/>
          <w:highlight w:val="none"/>
        </w:rPr>
        <w:t>.</w:t>
      </w:r>
      <w:r>
        <w:rPr>
          <w:rFonts w:ascii="宋体" w:hAnsi="宋体" w:cs="宋体"/>
          <w:color w:val="auto"/>
          <w:kern w:val="2"/>
          <w:sz w:val="21"/>
          <w:szCs w:val="21"/>
          <w:highlight w:val="none"/>
        </w:rPr>
        <w:t>18.4</w:t>
      </w:r>
      <w:r>
        <w:rPr>
          <w:rFonts w:ascii="宋体" w:hAnsi="宋体"/>
          <w:color w:val="auto"/>
          <w:kern w:val="2"/>
          <w:sz w:val="21"/>
          <w:szCs w:val="21"/>
          <w:highlight w:val="none"/>
        </w:rPr>
        <w:tab/>
      </w:r>
      <w:r>
        <w:rPr>
          <w:rFonts w:ascii="宋体" w:hAnsi="宋体" w:cs="宋体"/>
          <w:color w:val="auto"/>
          <w:kern w:val="2"/>
          <w:sz w:val="21"/>
          <w:szCs w:val="21"/>
          <w:highlight w:val="none"/>
        </w:rPr>
        <w:t>单位工程验收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18.4.1</w:t>
      </w:r>
      <w:r>
        <w:rPr>
          <w:rFonts w:ascii="宋体" w:hAnsi="宋体"/>
          <w:color w:val="auto"/>
          <w:kern w:val="2"/>
          <w:sz w:val="21"/>
          <w:szCs w:val="21"/>
          <w:highlight w:val="none"/>
        </w:rPr>
        <w:tab/>
      </w:r>
      <w:r>
        <w:rPr>
          <w:rFonts w:ascii="宋体" w:hAnsi="宋体" w:cs="宋体"/>
          <w:color w:val="auto"/>
          <w:kern w:val="2"/>
          <w:sz w:val="21"/>
          <w:szCs w:val="21"/>
          <w:highlight w:val="none"/>
        </w:rPr>
        <w:t>发包人根据合同进度计划安排，在全部工程竣工前需要使用已经竣工的单位工程时，或承包人提出经发包人同意时，可进行单位工程验收。验收的程序可参照第 18.2 款</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与第 18.3 款的约定进行。验收合格后，由监理人向承包人出具经发包人签认的单位工程验</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收证书。已签发单位工程接收证书的单位工程由发包人负责照管。单位工程的验收成果和结</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论作为全部工程竣工验收申请报告的附件。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18.4.2</w:t>
      </w:r>
      <w:r>
        <w:rPr>
          <w:rFonts w:ascii="宋体" w:hAnsi="宋体"/>
          <w:color w:val="auto"/>
          <w:kern w:val="2"/>
          <w:sz w:val="21"/>
          <w:szCs w:val="21"/>
          <w:highlight w:val="none"/>
        </w:rPr>
        <w:tab/>
      </w:r>
      <w:r>
        <w:rPr>
          <w:rFonts w:ascii="宋体" w:hAnsi="宋体" w:cs="宋体"/>
          <w:color w:val="auto"/>
          <w:kern w:val="2"/>
          <w:sz w:val="21"/>
          <w:szCs w:val="21"/>
          <w:highlight w:val="none"/>
        </w:rPr>
        <w:t>发包人在全部工程竣工前，使用已接收的单位工程导致承包人费用增加的，发包人应承担由此增加的费用和（或）工期延误，并支付承包人合理利润。</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18.5</w:t>
      </w:r>
      <w:r>
        <w:rPr>
          <w:rFonts w:ascii="宋体" w:hAnsi="宋体"/>
          <w:color w:val="auto"/>
          <w:kern w:val="2"/>
          <w:sz w:val="21"/>
          <w:szCs w:val="21"/>
          <w:highlight w:val="none"/>
        </w:rPr>
        <w:tab/>
      </w:r>
      <w:r>
        <w:rPr>
          <w:rFonts w:ascii="宋体" w:hAnsi="宋体" w:cs="宋体"/>
          <w:color w:val="auto"/>
          <w:kern w:val="2"/>
          <w:sz w:val="21"/>
          <w:szCs w:val="21"/>
          <w:highlight w:val="none"/>
        </w:rPr>
        <w:t>施工期运行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18.5.1</w:t>
      </w:r>
      <w:r>
        <w:rPr>
          <w:rFonts w:ascii="宋体" w:hAnsi="宋体"/>
          <w:color w:val="auto"/>
          <w:kern w:val="2"/>
          <w:sz w:val="21"/>
          <w:szCs w:val="21"/>
          <w:highlight w:val="none"/>
        </w:rPr>
        <w:tab/>
      </w:r>
      <w:r>
        <w:rPr>
          <w:rFonts w:ascii="宋体" w:hAnsi="宋体" w:cs="宋体"/>
          <w:color w:val="auto"/>
          <w:kern w:val="2"/>
          <w:sz w:val="21"/>
          <w:szCs w:val="21"/>
          <w:highlight w:val="none"/>
        </w:rPr>
        <w:t>施工期运行是指合同工程尚未全部竣工，其中某项或某几项单位工程或工程设备安装已竣工，根据合同条款专用部分约定，需要投入施工期运行的，经发包人按第 18.4</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款的约定验收合格，证明能确保安全后，才能在施工期投入运行。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18.5.2</w:t>
      </w:r>
      <w:r>
        <w:rPr>
          <w:rFonts w:ascii="宋体" w:hAnsi="宋体"/>
          <w:color w:val="auto"/>
          <w:kern w:val="2"/>
          <w:sz w:val="21"/>
          <w:szCs w:val="21"/>
          <w:highlight w:val="none"/>
        </w:rPr>
        <w:tab/>
      </w:r>
      <w:r>
        <w:rPr>
          <w:rFonts w:ascii="宋体" w:hAnsi="宋体" w:cs="宋体"/>
          <w:color w:val="auto"/>
          <w:kern w:val="2"/>
          <w:sz w:val="21"/>
          <w:szCs w:val="21"/>
          <w:highlight w:val="none"/>
        </w:rPr>
        <w:t>在施工期运行中发现工程或工程设备损坏或存在缺陷的，由承包人按第 19.2款约定进行修复。</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18.6</w:t>
      </w:r>
      <w:r>
        <w:rPr>
          <w:rFonts w:ascii="宋体" w:hAnsi="宋体"/>
          <w:color w:val="auto"/>
          <w:kern w:val="2"/>
          <w:sz w:val="21"/>
          <w:szCs w:val="21"/>
          <w:highlight w:val="none"/>
        </w:rPr>
        <w:tab/>
      </w:r>
      <w:r>
        <w:rPr>
          <w:rFonts w:ascii="宋体" w:hAnsi="宋体" w:cs="宋体"/>
          <w:color w:val="auto"/>
          <w:kern w:val="2"/>
          <w:sz w:val="21"/>
          <w:szCs w:val="21"/>
          <w:highlight w:val="none"/>
        </w:rPr>
        <w:t>试运行</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18.6.1</w:t>
      </w:r>
      <w:r>
        <w:rPr>
          <w:rFonts w:ascii="宋体" w:hAnsi="宋体"/>
          <w:color w:val="auto"/>
          <w:kern w:val="2"/>
          <w:sz w:val="21"/>
          <w:szCs w:val="21"/>
          <w:highlight w:val="none"/>
        </w:rPr>
        <w:tab/>
      </w:r>
      <w:r>
        <w:rPr>
          <w:rFonts w:ascii="宋体" w:hAnsi="宋体" w:cs="宋体"/>
          <w:color w:val="auto"/>
          <w:kern w:val="2"/>
          <w:sz w:val="21"/>
          <w:szCs w:val="21"/>
          <w:highlight w:val="none"/>
        </w:rPr>
        <w:t>工程及工程设备试运行的组织与费用承担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（1）工程设备安装具备单机无负荷试运行条件，由承包人组织试运行，费用由承包人承担。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（2）工程设备安装具备无负荷联动试运行条件，由发包人组织试运行，费用由发包人承担。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（3）投料试运行应在工程竣工验收后由发包人负责，如发包人要求在工程竣工验收前进行或需要承包人配合时，应征得承包人同意，另行签订补充协议。</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tabs>
          <w:tab w:val="left" w:pos="1060"/>
        </w:tabs>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18.7</w:t>
      </w:r>
      <w:r>
        <w:rPr>
          <w:rFonts w:ascii="宋体" w:hAnsi="宋体"/>
          <w:color w:val="auto"/>
          <w:kern w:val="2"/>
          <w:sz w:val="21"/>
          <w:szCs w:val="21"/>
          <w:highlight w:val="none"/>
        </w:rPr>
        <w:tab/>
      </w:r>
      <w:r>
        <w:rPr>
          <w:rFonts w:ascii="宋体" w:hAnsi="宋体" w:cs="宋体"/>
          <w:color w:val="auto"/>
          <w:kern w:val="2"/>
          <w:sz w:val="21"/>
          <w:szCs w:val="21"/>
          <w:highlight w:val="none"/>
        </w:rPr>
        <w:t>竣工清场</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18.7.1</w:t>
      </w:r>
      <w:r>
        <w:rPr>
          <w:rFonts w:ascii="宋体" w:hAnsi="宋体"/>
          <w:color w:val="auto"/>
          <w:kern w:val="2"/>
          <w:sz w:val="21"/>
          <w:szCs w:val="21"/>
          <w:highlight w:val="none"/>
        </w:rPr>
        <w:tab/>
      </w:r>
      <w:r>
        <w:rPr>
          <w:rFonts w:ascii="宋体" w:hAnsi="宋体" w:cs="宋体"/>
          <w:color w:val="auto"/>
          <w:kern w:val="2"/>
          <w:sz w:val="21"/>
          <w:szCs w:val="21"/>
          <w:highlight w:val="none"/>
        </w:rPr>
        <w:t>监理人颁发（出具）工程接收证书后，承包人负责按照以下要求对施工场地进</w:t>
      </w:r>
      <w:bookmarkStart w:id="737" w:name="page113"/>
      <w:bookmarkEnd w:id="737"/>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行清理，直至监理人检验合格为止。竣工清场费用由承包人承担。</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（1）施工场地内残留的垃圾已全部清除出场；</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（2）临时工程已拆除，场地已按合同要求进行清理、平整或复原；</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（3）按合同约定应撤离的承包人设备和剩余的材料，包括废弃的施工设备和材料，已按计划撤离施工场地；</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（4）工程建筑物周边及其附近道路、河道的施工堆积物，已按监理人指示全部清理；</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（5）监理人指示的其他场地清理工作已全部完成。</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18.7.2</w:t>
      </w:r>
      <w:r>
        <w:rPr>
          <w:rFonts w:ascii="宋体" w:hAnsi="宋体"/>
          <w:color w:val="auto"/>
          <w:kern w:val="2"/>
          <w:sz w:val="21"/>
          <w:szCs w:val="21"/>
          <w:highlight w:val="none"/>
        </w:rPr>
        <w:tab/>
      </w:r>
      <w:r>
        <w:rPr>
          <w:rFonts w:ascii="宋体" w:hAnsi="宋体" w:cs="宋体"/>
          <w:color w:val="auto"/>
          <w:kern w:val="2"/>
          <w:sz w:val="21"/>
          <w:szCs w:val="21"/>
          <w:highlight w:val="none"/>
        </w:rPr>
        <w:t>承包人未按监理人的要求恢复临时占地，或者场地清理未达到合同约定的，发</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包人有权委托其他人恢复或清理，所发生的金额从拟支付给承包人的款项中扣除。</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18.8</w:t>
      </w:r>
      <w:r>
        <w:rPr>
          <w:rFonts w:ascii="宋体" w:hAnsi="宋体"/>
          <w:color w:val="auto"/>
          <w:kern w:val="2"/>
          <w:sz w:val="21"/>
          <w:szCs w:val="21"/>
          <w:highlight w:val="none"/>
        </w:rPr>
        <w:tab/>
      </w:r>
      <w:r>
        <w:rPr>
          <w:rFonts w:ascii="宋体" w:hAnsi="宋体" w:cs="宋体"/>
          <w:color w:val="auto"/>
          <w:kern w:val="2"/>
          <w:sz w:val="21"/>
          <w:szCs w:val="21"/>
          <w:highlight w:val="none"/>
        </w:rPr>
        <w:t>施工队伍的撤离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18.8.1</w:t>
      </w:r>
      <w:r>
        <w:rPr>
          <w:rFonts w:ascii="宋体" w:hAnsi="宋体"/>
          <w:color w:val="auto"/>
          <w:kern w:val="2"/>
          <w:sz w:val="21"/>
          <w:szCs w:val="21"/>
          <w:highlight w:val="none"/>
        </w:rPr>
        <w:tab/>
      </w:r>
      <w:r>
        <w:rPr>
          <w:rFonts w:ascii="宋体" w:hAnsi="宋体" w:cs="宋体"/>
          <w:color w:val="auto"/>
          <w:kern w:val="2"/>
          <w:sz w:val="21"/>
          <w:szCs w:val="21"/>
          <w:highlight w:val="none"/>
        </w:rPr>
        <w:t>工程接收证书颁发后的 56 天内，除了经监理人同意需在缺陷责任期内继续工作和使用的人员、施工设备和临时工程外，其余的人员、施工设备和临时工程均应撤离施工场地或拆除。</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18.8.2</w:t>
      </w:r>
      <w:r>
        <w:rPr>
          <w:rFonts w:ascii="宋体" w:hAnsi="宋体"/>
          <w:color w:val="auto"/>
          <w:kern w:val="2"/>
          <w:sz w:val="21"/>
          <w:szCs w:val="21"/>
          <w:highlight w:val="none"/>
        </w:rPr>
        <w:tab/>
      </w:r>
      <w:r>
        <w:rPr>
          <w:rFonts w:ascii="宋体" w:hAnsi="宋体" w:cs="宋体"/>
          <w:color w:val="auto"/>
          <w:kern w:val="2"/>
          <w:sz w:val="21"/>
          <w:szCs w:val="21"/>
          <w:highlight w:val="none"/>
        </w:rPr>
        <w:t>承包人撤离施工场地（现场）时，监理人和承包人应当办理永久工程和施工场地移交手续，移交手续以书面方式出具，并分别经过发包人、监理人和承包人的签认。但是，监理人和发包人未按第 17.5.1 项约定的期限办清竣工结算和竣工付款的，本工程不得交付使用，发包人和监理人也无权要求承包人按合同约定的期限撤离施工场地（现场）和办理工</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程移交手续。</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18.8.3</w:t>
      </w:r>
      <w:r>
        <w:rPr>
          <w:rFonts w:ascii="宋体" w:hAnsi="宋体"/>
          <w:color w:val="auto"/>
          <w:kern w:val="2"/>
          <w:sz w:val="21"/>
          <w:szCs w:val="21"/>
          <w:highlight w:val="none"/>
        </w:rPr>
        <w:tab/>
      </w:r>
      <w:r>
        <w:rPr>
          <w:rFonts w:ascii="宋体" w:hAnsi="宋体" w:cs="宋体"/>
          <w:color w:val="auto"/>
          <w:kern w:val="2"/>
          <w:sz w:val="21"/>
          <w:szCs w:val="21"/>
          <w:highlight w:val="none"/>
        </w:rPr>
        <w:t>缺陷责任期满时，承包人的人员和施工设备应在合同约定期限内全部撤离施工场地。撤离施工场地的期限要求见合同条款专用部分。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18.9</w:t>
      </w:r>
      <w:r>
        <w:rPr>
          <w:rFonts w:ascii="宋体" w:hAnsi="宋体"/>
          <w:color w:val="auto"/>
          <w:kern w:val="2"/>
          <w:sz w:val="21"/>
          <w:szCs w:val="21"/>
          <w:highlight w:val="none"/>
        </w:rPr>
        <w:tab/>
      </w:r>
      <w:r>
        <w:rPr>
          <w:rFonts w:ascii="宋体" w:hAnsi="宋体" w:cs="宋体"/>
          <w:color w:val="auto"/>
          <w:kern w:val="2"/>
          <w:sz w:val="21"/>
          <w:szCs w:val="21"/>
          <w:highlight w:val="none"/>
        </w:rPr>
        <w:t>中间验收</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18.9.1</w:t>
      </w:r>
      <w:r>
        <w:rPr>
          <w:rFonts w:ascii="宋体" w:hAnsi="宋体"/>
          <w:color w:val="auto"/>
          <w:kern w:val="2"/>
          <w:sz w:val="21"/>
          <w:szCs w:val="21"/>
          <w:highlight w:val="none"/>
        </w:rPr>
        <w:tab/>
      </w:r>
      <w:r>
        <w:rPr>
          <w:rFonts w:ascii="宋体" w:hAnsi="宋体" w:cs="宋体"/>
          <w:color w:val="auto"/>
          <w:kern w:val="2"/>
          <w:sz w:val="21"/>
          <w:szCs w:val="21"/>
          <w:highlight w:val="none"/>
        </w:rPr>
        <w:t>本工程需要按照合同约定进行中间验收。进行中间验收的部位见合同条款专用部分。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18.9.2</w:t>
      </w:r>
      <w:r>
        <w:rPr>
          <w:rFonts w:ascii="宋体" w:hAnsi="宋体"/>
          <w:color w:val="auto"/>
          <w:kern w:val="2"/>
          <w:sz w:val="21"/>
          <w:szCs w:val="21"/>
          <w:highlight w:val="none"/>
        </w:rPr>
        <w:tab/>
      </w:r>
      <w:r>
        <w:rPr>
          <w:rFonts w:ascii="宋体" w:hAnsi="宋体" w:cs="宋体"/>
          <w:color w:val="auto"/>
          <w:kern w:val="2"/>
          <w:sz w:val="21"/>
          <w:szCs w:val="21"/>
          <w:highlight w:val="none"/>
        </w:rPr>
        <w:t>当工程进度达到第 18.9.1 项约定的中间验收部位时，承包人应当进行自检，并在中间验收前 48 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bookmarkStart w:id="738" w:name="page114"/>
      <w:bookmarkEnd w:id="738"/>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18.9.3</w:t>
      </w:r>
      <w:r>
        <w:rPr>
          <w:rFonts w:ascii="宋体" w:hAnsi="宋体"/>
          <w:color w:val="auto"/>
          <w:kern w:val="2"/>
          <w:sz w:val="21"/>
          <w:szCs w:val="21"/>
          <w:highlight w:val="none"/>
        </w:rPr>
        <w:tab/>
      </w:r>
      <w:r>
        <w:rPr>
          <w:rFonts w:ascii="宋体" w:hAnsi="宋体" w:cs="宋体"/>
          <w:color w:val="auto"/>
          <w:kern w:val="2"/>
          <w:sz w:val="21"/>
          <w:szCs w:val="21"/>
          <w:highlight w:val="none"/>
        </w:rPr>
        <w:t>监理人不能按时进行验收的，应在验收前至少 24 小时以书面形式向承包人提出延期要求，但延期不能超过 48 小时。监理人未能按本款约定的时限提出延期要求，又未</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按期进行验收的，承包人可自行组织验收，监理人必须认同验收记录。</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经监理人验收后工程质量符合约定的验收标准，但验收 24 小时后监理人仍不在验收记录上签字的，视为监理人已经认可验收记录，承包人可继续施工。</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19.缺陷责任与保修责任</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19.1</w:t>
      </w:r>
      <w:r>
        <w:rPr>
          <w:rFonts w:ascii="宋体" w:hAnsi="宋体"/>
          <w:color w:val="auto"/>
          <w:kern w:val="2"/>
          <w:sz w:val="21"/>
          <w:szCs w:val="21"/>
          <w:highlight w:val="none"/>
        </w:rPr>
        <w:tab/>
      </w:r>
      <w:r>
        <w:rPr>
          <w:rFonts w:ascii="宋体" w:hAnsi="宋体" w:cs="宋体"/>
          <w:color w:val="auto"/>
          <w:kern w:val="2"/>
          <w:sz w:val="21"/>
          <w:szCs w:val="21"/>
          <w:highlight w:val="none"/>
        </w:rPr>
        <w:t>缺陷责任期的起算时间</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缺陷责任期自实际竣工日期起计算。在全部工程竣工验收前，已经发包人提前验收的单位工程，其缺陷责任期的起算日期相应提前。</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19.2</w:t>
      </w:r>
      <w:r>
        <w:rPr>
          <w:rFonts w:ascii="宋体" w:hAnsi="宋体"/>
          <w:color w:val="auto"/>
          <w:kern w:val="2"/>
          <w:sz w:val="21"/>
          <w:szCs w:val="21"/>
          <w:highlight w:val="none"/>
        </w:rPr>
        <w:tab/>
      </w:r>
      <w:r>
        <w:rPr>
          <w:rFonts w:ascii="宋体" w:hAnsi="宋体" w:cs="宋体"/>
          <w:color w:val="auto"/>
          <w:kern w:val="2"/>
          <w:sz w:val="21"/>
          <w:szCs w:val="21"/>
          <w:highlight w:val="none"/>
        </w:rPr>
        <w:t>缺陷责任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19.2.1</w:t>
      </w:r>
      <w:r>
        <w:rPr>
          <w:rFonts w:ascii="宋体" w:hAnsi="宋体"/>
          <w:color w:val="auto"/>
          <w:kern w:val="2"/>
          <w:sz w:val="21"/>
          <w:szCs w:val="21"/>
          <w:highlight w:val="none"/>
        </w:rPr>
        <w:tab/>
      </w:r>
      <w:r>
        <w:rPr>
          <w:rFonts w:ascii="宋体" w:hAnsi="宋体" w:cs="宋体"/>
          <w:color w:val="auto"/>
          <w:kern w:val="2"/>
          <w:sz w:val="21"/>
          <w:szCs w:val="21"/>
          <w:highlight w:val="none"/>
        </w:rPr>
        <w:t>承包人应在缺陷责任期内对已交付使用的工程承担缺陷责任。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19.2.2</w:t>
      </w:r>
      <w:r>
        <w:rPr>
          <w:rFonts w:ascii="宋体" w:hAnsi="宋体"/>
          <w:color w:val="auto"/>
          <w:kern w:val="2"/>
          <w:sz w:val="21"/>
          <w:szCs w:val="21"/>
          <w:highlight w:val="none"/>
        </w:rPr>
        <w:tab/>
      </w:r>
      <w:r>
        <w:rPr>
          <w:rFonts w:ascii="宋体" w:hAnsi="宋体" w:cs="宋体"/>
          <w:color w:val="auto"/>
          <w:kern w:val="2"/>
          <w:sz w:val="21"/>
          <w:szCs w:val="21"/>
          <w:highlight w:val="none"/>
        </w:rPr>
        <w:t>缺陷责任期内，发包人对已接收使用的工程负责日常维护工作。发包人在使用过程中，发现已接收的工程存在新的缺陷或已修复的缺陷部位或部件又遭损坏的，承包人应</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负责修复，直至检验合格为止。</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19.2.3</w:t>
      </w:r>
      <w:r>
        <w:rPr>
          <w:rFonts w:ascii="宋体" w:hAnsi="宋体"/>
          <w:color w:val="auto"/>
          <w:kern w:val="2"/>
          <w:sz w:val="21"/>
          <w:szCs w:val="21"/>
          <w:highlight w:val="none"/>
        </w:rPr>
        <w:tab/>
      </w:r>
      <w:r>
        <w:rPr>
          <w:rFonts w:ascii="宋体" w:hAnsi="宋体" w:cs="宋体"/>
          <w:color w:val="auto"/>
          <w:kern w:val="2"/>
          <w:sz w:val="21"/>
          <w:szCs w:val="21"/>
          <w:highlight w:val="none"/>
        </w:rPr>
        <w:t>监理人和承包人应共同查清缺陷和（或）损坏的原因。经查明属承包人原因造成的，应由承包人承担修复和查验的费用。经查验属发包人原因造成的，发包人应承担修复</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和查验的费用，并支付承包人合理利润。</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19.2.4</w:t>
      </w:r>
      <w:r>
        <w:rPr>
          <w:rFonts w:ascii="宋体" w:hAnsi="宋体"/>
          <w:color w:val="auto"/>
          <w:kern w:val="2"/>
          <w:sz w:val="21"/>
          <w:szCs w:val="21"/>
          <w:highlight w:val="none"/>
        </w:rPr>
        <w:tab/>
      </w:r>
      <w:r>
        <w:rPr>
          <w:rFonts w:ascii="宋体" w:hAnsi="宋体" w:cs="宋体"/>
          <w:color w:val="auto"/>
          <w:kern w:val="2"/>
          <w:sz w:val="21"/>
          <w:szCs w:val="21"/>
          <w:highlight w:val="none"/>
        </w:rPr>
        <w:t>承包人不能在合理时间内修复缺陷的，发包人可自行修复或委托其他人修复，</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所需费用和利润的承担，按第 19.2.3 项约定办理。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19.3</w:t>
      </w:r>
      <w:r>
        <w:rPr>
          <w:rFonts w:ascii="宋体" w:hAnsi="宋体"/>
          <w:color w:val="auto"/>
          <w:kern w:val="2"/>
          <w:sz w:val="21"/>
          <w:szCs w:val="21"/>
          <w:highlight w:val="none"/>
        </w:rPr>
        <w:tab/>
      </w:r>
      <w:r>
        <w:rPr>
          <w:rFonts w:ascii="宋体" w:hAnsi="宋体" w:cs="宋体"/>
          <w:color w:val="auto"/>
          <w:kern w:val="2"/>
          <w:sz w:val="21"/>
          <w:szCs w:val="21"/>
          <w:highlight w:val="none"/>
        </w:rPr>
        <w:t>缺陷责任期的延长</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由于承包人原因造成某项缺陷或损坏，使某项工程或工程设备不能按原定目标使用，需要再次检查、检验和修复的，发包人有权要求承包人相应延长缺陷责任期，但缺陷责任期最</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长不超过 2 年。</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19.4</w:t>
      </w:r>
      <w:r>
        <w:rPr>
          <w:rFonts w:ascii="宋体" w:hAnsi="宋体"/>
          <w:color w:val="auto"/>
          <w:kern w:val="2"/>
          <w:sz w:val="21"/>
          <w:szCs w:val="21"/>
          <w:highlight w:val="none"/>
        </w:rPr>
        <w:tab/>
      </w:r>
      <w:r>
        <w:rPr>
          <w:rFonts w:ascii="宋体" w:hAnsi="宋体" w:cs="宋体"/>
          <w:color w:val="auto"/>
          <w:kern w:val="2"/>
          <w:sz w:val="21"/>
          <w:szCs w:val="21"/>
          <w:highlight w:val="none"/>
        </w:rPr>
        <w:t>进一步试验和试运行</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任何一项缺陷或损坏修复后，经检查证明其影响了工程或工程设备的使用性能，承包人应重新进行合同约定的试验和试运行，试验和试运行的全部费用应由责任方承担。</w:t>
      </w:r>
      <w:bookmarkStart w:id="739" w:name="page115"/>
      <w:bookmarkEnd w:id="739"/>
      <w:r>
        <w:rPr>
          <w:rFonts w:ascii="宋体" w:hAnsi="宋体" w:cs="宋体"/>
          <w:color w:val="auto"/>
          <w:kern w:val="2"/>
          <w:sz w:val="21"/>
          <w:szCs w:val="21"/>
          <w:highlight w:val="none"/>
        </w:rPr>
        <w:t>19.5</w:t>
      </w:r>
      <w:r>
        <w:rPr>
          <w:rFonts w:ascii="宋体" w:hAnsi="宋体"/>
          <w:color w:val="auto"/>
          <w:kern w:val="2"/>
          <w:sz w:val="21"/>
          <w:szCs w:val="21"/>
          <w:highlight w:val="none"/>
        </w:rPr>
        <w:tab/>
      </w:r>
      <w:r>
        <w:rPr>
          <w:rFonts w:ascii="宋体" w:hAnsi="宋体" w:cs="宋体"/>
          <w:color w:val="auto"/>
          <w:kern w:val="2"/>
          <w:sz w:val="21"/>
          <w:szCs w:val="21"/>
          <w:highlight w:val="none"/>
        </w:rPr>
        <w:t>承包人的进入权缺陷责任期内承包人为缺陷修复工作需要，有权进入工程现场，但应遵守发包人的保安和保密规定。</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19.6</w:t>
      </w:r>
      <w:r>
        <w:rPr>
          <w:rFonts w:ascii="宋体" w:hAnsi="宋体"/>
          <w:color w:val="auto"/>
          <w:kern w:val="2"/>
          <w:sz w:val="21"/>
          <w:szCs w:val="21"/>
          <w:highlight w:val="none"/>
        </w:rPr>
        <w:tab/>
      </w:r>
      <w:r>
        <w:rPr>
          <w:rFonts w:ascii="宋体" w:hAnsi="宋体" w:cs="宋体"/>
          <w:color w:val="auto"/>
          <w:kern w:val="2"/>
          <w:sz w:val="21"/>
          <w:szCs w:val="21"/>
          <w:highlight w:val="none"/>
        </w:rPr>
        <w:t>缺陷责任期终止证书</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在第 1.1.4.5 目约定的缺陷责任期，包括根据第 19.3 款延长的期限终止后 14 天内，由监理人向承包人出具经发包人签认的缺陷责任期终止证书，并退还剩余的质量保证金或退还</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保函。</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19.7</w:t>
      </w:r>
      <w:r>
        <w:rPr>
          <w:rFonts w:ascii="宋体" w:hAnsi="宋体"/>
          <w:color w:val="auto"/>
          <w:kern w:val="2"/>
          <w:sz w:val="21"/>
          <w:szCs w:val="21"/>
          <w:highlight w:val="none"/>
        </w:rPr>
        <w:tab/>
      </w:r>
      <w:r>
        <w:rPr>
          <w:rFonts w:ascii="宋体" w:hAnsi="宋体" w:cs="宋体"/>
          <w:color w:val="auto"/>
          <w:kern w:val="2"/>
          <w:sz w:val="21"/>
          <w:szCs w:val="21"/>
          <w:highlight w:val="none"/>
        </w:rPr>
        <w:t>保修责任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19.7.1</w:t>
      </w:r>
      <w:r>
        <w:rPr>
          <w:rFonts w:ascii="宋体" w:hAnsi="宋体"/>
          <w:color w:val="auto"/>
          <w:kern w:val="2"/>
          <w:sz w:val="21"/>
          <w:szCs w:val="21"/>
          <w:highlight w:val="none"/>
        </w:rPr>
        <w:tab/>
      </w:r>
      <w:r>
        <w:rPr>
          <w:rFonts w:ascii="宋体" w:hAnsi="宋体" w:cs="宋体"/>
          <w:color w:val="auto"/>
          <w:kern w:val="2"/>
          <w:sz w:val="21"/>
          <w:szCs w:val="21"/>
          <w:highlight w:val="none"/>
        </w:rPr>
        <w:t>合同当事人根据有关法律法规规定明确工程质量保修范围、期限和责任。保修期自实际竣工日期起计算。在全部工程竣工验收前，已经发包人提前验收的单位工程，其保</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修期的起算日期相应提前。工程质量保修范围、期限和责任见合同条款专用部分。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19.7.2</w:t>
      </w:r>
      <w:r>
        <w:rPr>
          <w:rFonts w:ascii="宋体" w:hAnsi="宋体"/>
          <w:color w:val="auto"/>
          <w:kern w:val="2"/>
          <w:sz w:val="21"/>
          <w:szCs w:val="21"/>
          <w:highlight w:val="none"/>
        </w:rPr>
        <w:tab/>
      </w:r>
      <w:r>
        <w:rPr>
          <w:rFonts w:ascii="宋体" w:hAnsi="宋体" w:cs="宋体"/>
          <w:color w:val="auto"/>
          <w:kern w:val="2"/>
          <w:sz w:val="21"/>
          <w:szCs w:val="21"/>
          <w:highlight w:val="none"/>
        </w:rPr>
        <w:t>质量保修书是竣工验收申请报告的组成内容。承包人应当按照有关法律法规规</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定和合同所附的格式出具质量保修书，质量保修书的主要内容应当与本款上述约定内容一</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致。承包人在递交合同条款第 18.2 款约定的竣工验收报告的同时，将质量保修书一并报送</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20.保险</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20.1</w:t>
      </w:r>
      <w:r>
        <w:rPr>
          <w:rFonts w:ascii="宋体" w:hAnsi="宋体"/>
          <w:color w:val="auto"/>
          <w:kern w:val="2"/>
          <w:sz w:val="21"/>
          <w:szCs w:val="21"/>
          <w:highlight w:val="none"/>
        </w:rPr>
        <w:tab/>
      </w:r>
      <w:r>
        <w:rPr>
          <w:rFonts w:ascii="宋体" w:hAnsi="宋体" w:cs="宋体"/>
          <w:color w:val="auto"/>
          <w:kern w:val="2"/>
          <w:sz w:val="21"/>
          <w:szCs w:val="21"/>
          <w:highlight w:val="none"/>
        </w:rPr>
        <w:t>工程保险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承包人应以发包人和承包人的共同名义向双方同意的保险人投保建筑工程一切险、安装工程一切险。其具体的投保内容、保险金额、保险费率、保险期限等有关内容见合同条款专</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20.2</w:t>
      </w:r>
      <w:r>
        <w:rPr>
          <w:rFonts w:ascii="宋体" w:hAnsi="宋体"/>
          <w:color w:val="auto"/>
          <w:kern w:val="2"/>
          <w:sz w:val="21"/>
          <w:szCs w:val="21"/>
          <w:highlight w:val="none"/>
        </w:rPr>
        <w:tab/>
      </w:r>
      <w:r>
        <w:rPr>
          <w:rFonts w:ascii="宋体" w:hAnsi="宋体" w:cs="宋体"/>
          <w:color w:val="auto"/>
          <w:kern w:val="2"/>
          <w:sz w:val="21"/>
          <w:szCs w:val="21"/>
          <w:highlight w:val="none"/>
        </w:rPr>
        <w:t>人员工伤事故的保险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20.2.1</w:t>
      </w:r>
      <w:r>
        <w:rPr>
          <w:rFonts w:ascii="宋体" w:hAnsi="宋体"/>
          <w:color w:val="auto"/>
          <w:kern w:val="2"/>
          <w:sz w:val="21"/>
          <w:szCs w:val="21"/>
          <w:highlight w:val="none"/>
        </w:rPr>
        <w:tab/>
      </w:r>
      <w:r>
        <w:rPr>
          <w:rFonts w:ascii="宋体" w:hAnsi="宋体" w:cs="宋体"/>
          <w:color w:val="auto"/>
          <w:kern w:val="2"/>
          <w:sz w:val="21"/>
          <w:szCs w:val="21"/>
          <w:highlight w:val="none"/>
        </w:rPr>
        <w:t>承包人员工伤事故的保险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（2）承包人工伤事故保险期限自合同工程开工之日起至合同终止之日止。</w:t>
      </w:r>
      <w:bookmarkStart w:id="740" w:name="page116"/>
      <w:bookmarkEnd w:id="740"/>
      <w:r>
        <w:rPr>
          <w:rFonts w:ascii="宋体" w:hAnsi="宋体" w:cs="宋体"/>
          <w:color w:val="auto"/>
          <w:kern w:val="2"/>
          <w:sz w:val="21"/>
          <w:szCs w:val="21"/>
          <w:highlight w:val="none"/>
        </w:rPr>
        <w:t>20.2.2</w:t>
      </w:r>
      <w:r>
        <w:rPr>
          <w:rFonts w:ascii="宋体" w:hAnsi="宋体"/>
          <w:color w:val="auto"/>
          <w:kern w:val="2"/>
          <w:sz w:val="21"/>
          <w:szCs w:val="21"/>
          <w:highlight w:val="none"/>
        </w:rPr>
        <w:tab/>
      </w:r>
      <w:r>
        <w:rPr>
          <w:rFonts w:ascii="宋体" w:hAnsi="宋体" w:cs="宋体"/>
          <w:color w:val="auto"/>
          <w:kern w:val="2"/>
          <w:sz w:val="21"/>
          <w:szCs w:val="21"/>
          <w:highlight w:val="none"/>
        </w:rPr>
        <w:t>发包人员工伤事故的保险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发包人应依照有关法律法规规定参加工伤保险，为其现场机构雇佣的全部人员，缴纳工伤保险费，并要求其监理人也进行此项保险。</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20.3</w:t>
      </w:r>
      <w:r>
        <w:rPr>
          <w:rFonts w:ascii="宋体" w:hAnsi="宋体"/>
          <w:color w:val="auto"/>
          <w:kern w:val="2"/>
          <w:sz w:val="21"/>
          <w:szCs w:val="21"/>
          <w:highlight w:val="none"/>
        </w:rPr>
        <w:tab/>
      </w:r>
      <w:r>
        <w:rPr>
          <w:rFonts w:ascii="宋体" w:hAnsi="宋体" w:cs="宋体"/>
          <w:color w:val="auto"/>
          <w:kern w:val="2"/>
          <w:sz w:val="21"/>
          <w:szCs w:val="21"/>
          <w:highlight w:val="none"/>
        </w:rPr>
        <w:t>人身意外伤害险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20.3.1</w:t>
      </w:r>
      <w:r>
        <w:rPr>
          <w:rFonts w:ascii="宋体" w:hAnsi="宋体"/>
          <w:color w:val="auto"/>
          <w:kern w:val="2"/>
          <w:sz w:val="21"/>
          <w:szCs w:val="21"/>
          <w:highlight w:val="none"/>
        </w:rPr>
        <w:tab/>
      </w:r>
      <w:r>
        <w:rPr>
          <w:rFonts w:ascii="宋体" w:hAnsi="宋体" w:cs="宋体"/>
          <w:color w:val="auto"/>
          <w:kern w:val="2"/>
          <w:sz w:val="21"/>
          <w:szCs w:val="21"/>
          <w:highlight w:val="none"/>
        </w:rPr>
        <w:t>发包人应在整个施工期间为其现场机构雇用的全部人员，投保人身意外伤害险，缴纳保险费，并要求其监理人也进行此项保险。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20.3.2</w:t>
      </w:r>
      <w:r>
        <w:rPr>
          <w:rFonts w:ascii="宋体" w:hAnsi="宋体"/>
          <w:color w:val="auto"/>
          <w:kern w:val="2"/>
          <w:sz w:val="21"/>
          <w:szCs w:val="21"/>
          <w:highlight w:val="none"/>
        </w:rPr>
        <w:tab/>
      </w:r>
      <w:r>
        <w:rPr>
          <w:rFonts w:ascii="宋体" w:hAnsi="宋体" w:cs="宋体"/>
          <w:color w:val="auto"/>
          <w:kern w:val="2"/>
          <w:sz w:val="21"/>
          <w:szCs w:val="21"/>
          <w:highlight w:val="none"/>
        </w:rPr>
        <w:t>承包人应在整个施工期间为其现场机构雇用的全部人员，投保人身意外伤害险，缴纳保险费，并要求其分包人也进行此项保险。</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20.4</w:t>
      </w:r>
      <w:r>
        <w:rPr>
          <w:rFonts w:ascii="宋体" w:hAnsi="宋体"/>
          <w:color w:val="auto"/>
          <w:kern w:val="2"/>
          <w:sz w:val="21"/>
          <w:szCs w:val="21"/>
          <w:highlight w:val="none"/>
        </w:rPr>
        <w:tab/>
      </w:r>
      <w:r>
        <w:rPr>
          <w:rFonts w:ascii="宋体" w:hAnsi="宋体" w:cs="宋体"/>
          <w:color w:val="auto"/>
          <w:kern w:val="2"/>
          <w:sz w:val="21"/>
          <w:szCs w:val="21"/>
          <w:highlight w:val="none"/>
        </w:rPr>
        <w:t>第三者责任险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20.4.1</w:t>
      </w:r>
      <w:r>
        <w:rPr>
          <w:rFonts w:ascii="宋体" w:hAnsi="宋体"/>
          <w:color w:val="auto"/>
          <w:kern w:val="2"/>
          <w:sz w:val="21"/>
          <w:szCs w:val="21"/>
          <w:highlight w:val="none"/>
        </w:rPr>
        <w:tab/>
      </w:r>
      <w:r>
        <w:rPr>
          <w:rFonts w:ascii="宋体" w:hAnsi="宋体" w:cs="宋体"/>
          <w:color w:val="auto"/>
          <w:kern w:val="2"/>
          <w:sz w:val="21"/>
          <w:szCs w:val="21"/>
          <w:highlight w:val="none"/>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20.4.2</w:t>
      </w:r>
      <w:r>
        <w:rPr>
          <w:rFonts w:ascii="宋体" w:hAnsi="宋体"/>
          <w:color w:val="auto"/>
          <w:kern w:val="2"/>
          <w:sz w:val="21"/>
          <w:szCs w:val="21"/>
          <w:highlight w:val="none"/>
        </w:rPr>
        <w:tab/>
      </w:r>
      <w:r>
        <w:rPr>
          <w:rFonts w:ascii="宋体" w:hAnsi="宋体" w:cs="宋体"/>
          <w:color w:val="auto"/>
          <w:kern w:val="2"/>
          <w:sz w:val="21"/>
          <w:szCs w:val="21"/>
          <w:highlight w:val="none"/>
        </w:rPr>
        <w:t>在缺陷责任期终止证书颁发前，承包人应以承包人和发包人的共同名义，投保</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第 20.4.1 项约定的第三者责任险，其保险费率、保险金额、保险费承担人等有关内容见合</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同条款专用部分。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20.5</w:t>
      </w:r>
      <w:r>
        <w:rPr>
          <w:rFonts w:ascii="宋体" w:hAnsi="宋体"/>
          <w:color w:val="auto"/>
          <w:kern w:val="2"/>
          <w:sz w:val="21"/>
          <w:szCs w:val="21"/>
          <w:highlight w:val="none"/>
        </w:rPr>
        <w:tab/>
      </w:r>
      <w:r>
        <w:rPr>
          <w:rFonts w:ascii="宋体" w:hAnsi="宋体" w:cs="宋体"/>
          <w:color w:val="auto"/>
          <w:kern w:val="2"/>
          <w:sz w:val="21"/>
          <w:szCs w:val="21"/>
          <w:highlight w:val="none"/>
        </w:rPr>
        <w:t>其他保险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承包人应为其施工设备、进场的材料和工程设备等办理保险。办理保险的险种见合同条</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款专用部分。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w:t>
      </w:r>
      <w:r>
        <w:rPr>
          <w:rFonts w:ascii="宋体" w:hAnsi="宋体"/>
          <w:color w:val="auto"/>
          <w:kern w:val="2"/>
          <w:sz w:val="21"/>
          <w:szCs w:val="21"/>
          <w:highlight w:val="none"/>
        </w:rPr>
        <w:tab/>
      </w:r>
      <w:r>
        <w:rPr>
          <w:rFonts w:ascii="宋体" w:hAnsi="宋体" w:cs="宋体"/>
          <w:color w:val="auto"/>
          <w:kern w:val="2"/>
          <w:sz w:val="21"/>
          <w:szCs w:val="21"/>
          <w:highlight w:val="none"/>
        </w:rPr>
        <w:t>对各项保险的一般要求</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20.6.1</w:t>
      </w:r>
      <w:r>
        <w:rPr>
          <w:rFonts w:ascii="宋体" w:hAnsi="宋体"/>
          <w:color w:val="auto"/>
          <w:kern w:val="2"/>
          <w:sz w:val="21"/>
          <w:szCs w:val="21"/>
          <w:highlight w:val="none"/>
        </w:rPr>
        <w:tab/>
      </w:r>
      <w:r>
        <w:rPr>
          <w:rFonts w:ascii="宋体" w:hAnsi="宋体" w:cs="宋体"/>
          <w:color w:val="auto"/>
          <w:kern w:val="2"/>
          <w:sz w:val="21"/>
          <w:szCs w:val="21"/>
          <w:highlight w:val="none"/>
        </w:rPr>
        <w:t>保险凭证</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承包人应在合同约定的期限内向发包人提交各项保险生效的证据和保险单副本，保险单</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必须与合同约定的条件保持一致。各项保险生效的证据和保险单副本的期限见合同条款专用</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20.6.2</w:t>
      </w:r>
      <w:r>
        <w:rPr>
          <w:rFonts w:ascii="宋体" w:hAnsi="宋体"/>
          <w:color w:val="auto"/>
          <w:kern w:val="2"/>
          <w:sz w:val="21"/>
          <w:szCs w:val="21"/>
          <w:highlight w:val="none"/>
        </w:rPr>
        <w:tab/>
      </w:r>
      <w:r>
        <w:rPr>
          <w:rFonts w:ascii="宋体" w:hAnsi="宋体" w:cs="宋体"/>
          <w:color w:val="auto"/>
          <w:kern w:val="2"/>
          <w:sz w:val="21"/>
          <w:szCs w:val="21"/>
          <w:highlight w:val="none"/>
        </w:rPr>
        <w:t>保险合同条款的变动</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承包人需要变动保险合同条款时，应事先征得发包人同意，并通知监理人。保险人作出</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变动的，承包人应在收到保险人通知后立即通知发包人和监理人。</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20.6.3</w:t>
      </w:r>
      <w:r>
        <w:rPr>
          <w:rFonts w:ascii="宋体" w:hAnsi="宋体"/>
          <w:color w:val="auto"/>
          <w:kern w:val="2"/>
          <w:sz w:val="21"/>
          <w:szCs w:val="21"/>
          <w:highlight w:val="none"/>
        </w:rPr>
        <w:tab/>
      </w:r>
      <w:r>
        <w:rPr>
          <w:rFonts w:ascii="宋体" w:hAnsi="宋体" w:cs="宋体"/>
          <w:color w:val="auto"/>
          <w:kern w:val="2"/>
          <w:sz w:val="21"/>
          <w:szCs w:val="21"/>
          <w:highlight w:val="none"/>
        </w:rPr>
        <w:t>持续保险</w:t>
      </w:r>
    </w:p>
    <w:p>
      <w:pPr>
        <w:adjustRightInd/>
        <w:ind w:left="360" w:right="346" w:firstLine="420" w:firstLineChars="0"/>
        <w:jc w:val="both"/>
        <w:textAlignment w:val="auto"/>
        <w:rPr>
          <w:rFonts w:ascii="宋体" w:hAnsi="宋体"/>
          <w:color w:val="auto"/>
          <w:kern w:val="2"/>
          <w:sz w:val="21"/>
          <w:szCs w:val="21"/>
          <w:highlight w:val="none"/>
        </w:rPr>
      </w:pPr>
      <w:bookmarkStart w:id="741" w:name="page117"/>
      <w:bookmarkEnd w:id="741"/>
      <w:r>
        <w:rPr>
          <w:rFonts w:ascii="宋体" w:hAnsi="宋体" w:cs="宋体"/>
          <w:color w:val="auto"/>
          <w:kern w:val="2"/>
          <w:sz w:val="21"/>
          <w:szCs w:val="21"/>
          <w:highlight w:val="none"/>
        </w:rPr>
        <w:t>承包人应与保险人保持联系，使保险人能够随时了解工程实施中的变动，并确保按保险合同条款要求持续保险。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20.6.4</w:t>
      </w:r>
      <w:r>
        <w:rPr>
          <w:rFonts w:ascii="宋体" w:hAnsi="宋体"/>
          <w:color w:val="auto"/>
          <w:kern w:val="2"/>
          <w:sz w:val="21"/>
          <w:szCs w:val="21"/>
          <w:highlight w:val="none"/>
        </w:rPr>
        <w:tab/>
      </w:r>
      <w:r>
        <w:rPr>
          <w:rFonts w:ascii="宋体" w:hAnsi="宋体" w:cs="宋体"/>
          <w:color w:val="auto"/>
          <w:kern w:val="2"/>
          <w:sz w:val="21"/>
          <w:szCs w:val="21"/>
          <w:highlight w:val="none"/>
        </w:rPr>
        <w:t>保险金不足的补偿</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保险金不足以补偿损失的，应由承包人和（或）发包人按合同约定负责补偿。保险金不足的补偿原则见合同条款专用部分。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20.6.5</w:t>
      </w:r>
      <w:r>
        <w:rPr>
          <w:rFonts w:ascii="宋体" w:hAnsi="宋体"/>
          <w:color w:val="auto"/>
          <w:kern w:val="2"/>
          <w:sz w:val="21"/>
          <w:szCs w:val="21"/>
          <w:highlight w:val="none"/>
        </w:rPr>
        <w:tab/>
      </w:r>
      <w:r>
        <w:rPr>
          <w:rFonts w:ascii="宋体" w:hAnsi="宋体" w:cs="宋体"/>
          <w:color w:val="auto"/>
          <w:kern w:val="2"/>
          <w:sz w:val="21"/>
          <w:szCs w:val="21"/>
          <w:highlight w:val="none"/>
        </w:rPr>
        <w:t>未按约定投保的补救</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（1）由于负有投保义务的一方当事人未按合同约定办理保险，或未能使保险持续有效的，另一方当事人可代为办理，所需费用由对方当事人承担。</w:t>
      </w:r>
    </w:p>
    <w:p>
      <w:pPr>
        <w:adjustRightInd/>
        <w:ind w:firstLine="0" w:firstLineChars="0"/>
        <w:jc w:val="both"/>
        <w:textAlignment w:val="auto"/>
        <w:rPr>
          <w:rFonts w:ascii="宋体" w:hAnsi="宋体"/>
          <w:color w:val="auto"/>
          <w:kern w:val="2"/>
          <w:sz w:val="21"/>
          <w:szCs w:val="21"/>
          <w:highlight w:val="none"/>
        </w:rPr>
      </w:pP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（2）由于负有投保义务的一方当事人未按合同约定办理某项保险，导致受益人未能得到保险人的赔偿，原应从该项保险得到的保险金应由负有投保义务的一方当事人支付。</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20.6.6</w:t>
      </w:r>
      <w:r>
        <w:rPr>
          <w:rFonts w:ascii="宋体" w:hAnsi="宋体"/>
          <w:color w:val="auto"/>
          <w:kern w:val="2"/>
          <w:sz w:val="21"/>
          <w:szCs w:val="21"/>
          <w:highlight w:val="none"/>
        </w:rPr>
        <w:tab/>
      </w:r>
      <w:r>
        <w:rPr>
          <w:rFonts w:ascii="宋体" w:hAnsi="宋体" w:cs="宋体"/>
          <w:color w:val="auto"/>
          <w:kern w:val="2"/>
          <w:sz w:val="21"/>
          <w:szCs w:val="21"/>
          <w:highlight w:val="none"/>
        </w:rPr>
        <w:t>报告义务</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当保险事故发生时，投保人应按照保险单规定的条件和期限及时向保险人报告。</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21.不可抗力</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21.1</w:t>
      </w:r>
      <w:r>
        <w:rPr>
          <w:rFonts w:ascii="宋体" w:hAnsi="宋体"/>
          <w:color w:val="auto"/>
          <w:kern w:val="2"/>
          <w:sz w:val="21"/>
          <w:szCs w:val="21"/>
          <w:highlight w:val="none"/>
        </w:rPr>
        <w:tab/>
      </w:r>
      <w:r>
        <w:rPr>
          <w:rFonts w:ascii="宋体" w:hAnsi="宋体" w:cs="宋体"/>
          <w:color w:val="auto"/>
          <w:kern w:val="2"/>
          <w:sz w:val="21"/>
          <w:szCs w:val="21"/>
          <w:highlight w:val="none"/>
        </w:rPr>
        <w:t>不可抗力的确认</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21.1.1</w:t>
      </w:r>
      <w:r>
        <w:rPr>
          <w:rFonts w:ascii="宋体" w:hAnsi="宋体"/>
          <w:color w:val="auto"/>
          <w:kern w:val="2"/>
          <w:sz w:val="21"/>
          <w:szCs w:val="21"/>
          <w:highlight w:val="none"/>
        </w:rPr>
        <w:tab/>
      </w:r>
      <w:r>
        <w:rPr>
          <w:rFonts w:ascii="宋体" w:hAnsi="宋体" w:cs="宋体"/>
          <w:color w:val="auto"/>
          <w:kern w:val="2"/>
          <w:sz w:val="21"/>
          <w:szCs w:val="21"/>
          <w:highlight w:val="none"/>
        </w:rPr>
        <w:t>不可抗力是指承包人和发包人在订立合同时不可预见，在工程施工过程中不可</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避免发生并不能克服的自然灾害和社会性突发事件，如地震、海啸、瘟疫、水灾、骚乱、暴</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动、战争和合同约定的其他情形。其他情形见合同条款专用部分。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21.1.2</w:t>
      </w:r>
      <w:r>
        <w:rPr>
          <w:rFonts w:ascii="宋体" w:hAnsi="宋体"/>
          <w:color w:val="auto"/>
          <w:kern w:val="2"/>
          <w:sz w:val="21"/>
          <w:szCs w:val="21"/>
          <w:highlight w:val="none"/>
        </w:rPr>
        <w:tab/>
      </w:r>
      <w:r>
        <w:rPr>
          <w:rFonts w:ascii="宋体" w:hAnsi="宋体" w:cs="宋体"/>
          <w:color w:val="auto"/>
          <w:kern w:val="2"/>
          <w:sz w:val="21"/>
          <w:szCs w:val="21"/>
          <w:highlight w:val="none"/>
        </w:rPr>
        <w:t>不可抗力发生后，发包人和承包人应及时认真统计所造成的损失，收集不可抗</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力造成损失的证据。合同双方对是否属于不可抗力或其损失的意见不一致的，由监理人按第</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3.5 款商定或确定。发生争议时，按第 24 条的约定办理。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21.2</w:t>
      </w:r>
      <w:r>
        <w:rPr>
          <w:rFonts w:ascii="宋体" w:hAnsi="宋体"/>
          <w:color w:val="auto"/>
          <w:kern w:val="2"/>
          <w:sz w:val="21"/>
          <w:szCs w:val="21"/>
          <w:highlight w:val="none"/>
        </w:rPr>
        <w:tab/>
      </w:r>
      <w:r>
        <w:rPr>
          <w:rFonts w:ascii="宋体" w:hAnsi="宋体" w:cs="宋体"/>
          <w:color w:val="auto"/>
          <w:kern w:val="2"/>
          <w:sz w:val="21"/>
          <w:szCs w:val="21"/>
          <w:highlight w:val="none"/>
        </w:rPr>
        <w:t>不可抗力的通知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21.2.1</w:t>
      </w:r>
      <w:r>
        <w:rPr>
          <w:rFonts w:ascii="宋体" w:hAnsi="宋体"/>
          <w:color w:val="auto"/>
          <w:kern w:val="2"/>
          <w:sz w:val="21"/>
          <w:szCs w:val="21"/>
          <w:highlight w:val="none"/>
        </w:rPr>
        <w:tab/>
      </w:r>
      <w:r>
        <w:rPr>
          <w:rFonts w:ascii="宋体" w:hAnsi="宋体" w:cs="宋体"/>
          <w:color w:val="auto"/>
          <w:kern w:val="2"/>
          <w:sz w:val="21"/>
          <w:szCs w:val="21"/>
          <w:highlight w:val="none"/>
        </w:rPr>
        <w:t>合同一方当事人遇到不可抗力事件，使其履行合同义务受到阻碍时，应立即通</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知合同另一方当事人和监理人，书面说明不可抗力和受阻碍的详细情况，并提供必要的证明。</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21.2.2</w:t>
      </w:r>
      <w:r>
        <w:rPr>
          <w:rFonts w:ascii="宋体" w:hAnsi="宋体"/>
          <w:color w:val="auto"/>
          <w:kern w:val="2"/>
          <w:sz w:val="21"/>
          <w:szCs w:val="21"/>
          <w:highlight w:val="none"/>
        </w:rPr>
        <w:tab/>
      </w:r>
      <w:r>
        <w:rPr>
          <w:rFonts w:ascii="宋体" w:hAnsi="宋体" w:cs="宋体"/>
          <w:color w:val="auto"/>
          <w:kern w:val="2"/>
          <w:sz w:val="21"/>
          <w:szCs w:val="21"/>
          <w:highlight w:val="none"/>
        </w:rPr>
        <w:t>如不可抗力持续发生，合同一方当事人应及时向合同另一方当事人和监理人提</w:t>
      </w:r>
    </w:p>
    <w:p>
      <w:pPr>
        <w:adjustRightInd/>
        <w:ind w:right="-13" w:firstLine="0" w:firstLineChars="0"/>
        <w:jc w:val="center"/>
        <w:textAlignment w:val="auto"/>
        <w:rPr>
          <w:rFonts w:ascii="宋体" w:hAnsi="宋体"/>
          <w:color w:val="auto"/>
          <w:kern w:val="2"/>
          <w:sz w:val="21"/>
          <w:szCs w:val="21"/>
          <w:highlight w:val="none"/>
        </w:rPr>
      </w:pPr>
      <w:r>
        <w:rPr>
          <w:rFonts w:ascii="宋体" w:hAnsi="宋体" w:cs="宋体"/>
          <w:color w:val="auto"/>
          <w:kern w:val="2"/>
          <w:sz w:val="21"/>
          <w:szCs w:val="21"/>
          <w:highlight w:val="none"/>
        </w:rPr>
        <w:t>交中间报告，说明不可抗力和履行合同受阻的情况，并于不可抗力事件结束后 28 天内提交</w:t>
      </w:r>
    </w:p>
    <w:p>
      <w:pPr>
        <w:adjustRightInd/>
        <w:ind w:left="360" w:firstLine="0" w:firstLineChars="0"/>
        <w:jc w:val="both"/>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最终报告及有关资料。</w:t>
      </w:r>
      <w:bookmarkStart w:id="742" w:name="page118"/>
      <w:bookmarkEnd w:id="742"/>
    </w:p>
    <w:p>
      <w:pPr>
        <w:adjustRightInd/>
        <w:ind w:left="360" w:firstLine="0" w:firstLineChars="0"/>
        <w:jc w:val="both"/>
        <w:textAlignment w:val="auto"/>
        <w:rPr>
          <w:rFonts w:ascii="宋体" w:hAnsi="宋体"/>
          <w:color w:val="auto"/>
          <w:kern w:val="2"/>
          <w:sz w:val="21"/>
          <w:szCs w:val="21"/>
          <w:highlight w:val="none"/>
        </w:rPr>
      </w:pPr>
      <w:r>
        <w:rPr>
          <w:rFonts w:ascii="宋体" w:hAnsi="宋体"/>
          <w:color w:val="auto"/>
          <w:kern w:val="2"/>
          <w:sz w:val="21"/>
          <w:szCs w:val="21"/>
          <w:highlight w:val="none"/>
        </w:rPr>
        <w:t>.</w:t>
      </w:r>
      <w:r>
        <w:rPr>
          <w:rFonts w:ascii="宋体" w:hAnsi="宋体" w:cs="宋体"/>
          <w:color w:val="auto"/>
          <w:kern w:val="2"/>
          <w:sz w:val="21"/>
          <w:szCs w:val="21"/>
          <w:highlight w:val="none"/>
        </w:rPr>
        <w:t>21.3</w:t>
      </w:r>
      <w:r>
        <w:rPr>
          <w:rFonts w:ascii="宋体" w:hAnsi="宋体"/>
          <w:color w:val="auto"/>
          <w:kern w:val="2"/>
          <w:sz w:val="21"/>
          <w:szCs w:val="21"/>
          <w:highlight w:val="none"/>
        </w:rPr>
        <w:tab/>
      </w:r>
      <w:r>
        <w:rPr>
          <w:rFonts w:ascii="宋体" w:hAnsi="宋体" w:cs="宋体"/>
          <w:color w:val="auto"/>
          <w:kern w:val="2"/>
          <w:sz w:val="21"/>
          <w:szCs w:val="21"/>
          <w:highlight w:val="none"/>
        </w:rPr>
        <w:t>不可抗力后果及其处理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21.3.1</w:t>
      </w:r>
      <w:r>
        <w:rPr>
          <w:rFonts w:ascii="宋体" w:hAnsi="宋体"/>
          <w:color w:val="auto"/>
          <w:kern w:val="2"/>
          <w:sz w:val="21"/>
          <w:szCs w:val="21"/>
          <w:highlight w:val="none"/>
        </w:rPr>
        <w:tab/>
      </w:r>
      <w:r>
        <w:rPr>
          <w:rFonts w:ascii="宋体" w:hAnsi="宋体" w:cs="宋体"/>
          <w:color w:val="auto"/>
          <w:kern w:val="2"/>
          <w:sz w:val="21"/>
          <w:szCs w:val="21"/>
          <w:highlight w:val="none"/>
        </w:rPr>
        <w:t>不可抗力造成损害的责任</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不可抗力导致的人员伤亡、财产损失、费用增加和（或）工期延误等后果，由合同双方按以下原则承担：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（1）永久工程，包括已运至施工场地的材料和工程设备的损害，以及因工程损害造成的第三者人员伤亡和财产损失由发包人承担；</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（2）承包人设备的损坏由承包人承担；</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（3）发包人和承包人各自承担其人员伤亡和其他财产损失及其相关费用；</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（4）承包人的停工损失由承包人承担，但停工期间应监理人要求照管工程和清理、修复工程的金额由发包人承担；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（5）不能按期竣工的，应合理延长工期，承包人不需支付逾期竣工违约金。发包人要求赶工的，承包人应采取赶工措施，赶工费用由发包人承担。</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21.3.2</w:t>
      </w:r>
      <w:r>
        <w:rPr>
          <w:rFonts w:ascii="宋体" w:hAnsi="宋体"/>
          <w:color w:val="auto"/>
          <w:kern w:val="2"/>
          <w:sz w:val="21"/>
          <w:szCs w:val="21"/>
          <w:highlight w:val="none"/>
        </w:rPr>
        <w:tab/>
      </w:r>
      <w:r>
        <w:rPr>
          <w:rFonts w:ascii="宋体" w:hAnsi="宋体" w:cs="宋体"/>
          <w:color w:val="auto"/>
          <w:kern w:val="2"/>
          <w:sz w:val="21"/>
          <w:szCs w:val="21"/>
          <w:highlight w:val="none"/>
        </w:rPr>
        <w:t>延迟履行期间发生的不可抗力</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合同一方当事人延迟履行，在延迟履行期间发生不可抗力的，不免除其责任。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21.3.3</w:t>
      </w:r>
      <w:r>
        <w:rPr>
          <w:rFonts w:ascii="宋体" w:hAnsi="宋体"/>
          <w:color w:val="auto"/>
          <w:kern w:val="2"/>
          <w:sz w:val="21"/>
          <w:szCs w:val="21"/>
          <w:highlight w:val="none"/>
        </w:rPr>
        <w:tab/>
      </w:r>
      <w:r>
        <w:rPr>
          <w:rFonts w:ascii="宋体" w:hAnsi="宋体" w:cs="宋体"/>
          <w:color w:val="auto"/>
          <w:kern w:val="2"/>
          <w:sz w:val="21"/>
          <w:szCs w:val="21"/>
          <w:highlight w:val="none"/>
        </w:rPr>
        <w:t>避免和减少不可抗力损失</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不可抗力发生后，发包人和承包人均应采取措施尽量避免和减少损失的扩大，任何一方没有采取有效措施导致损失扩大的，应对扩大的损失承担责任。</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21.3.4</w:t>
      </w:r>
      <w:r>
        <w:rPr>
          <w:rFonts w:ascii="宋体" w:hAnsi="宋体"/>
          <w:color w:val="auto"/>
          <w:kern w:val="2"/>
          <w:sz w:val="21"/>
          <w:szCs w:val="21"/>
          <w:highlight w:val="none"/>
        </w:rPr>
        <w:tab/>
      </w:r>
      <w:r>
        <w:rPr>
          <w:rFonts w:ascii="宋体" w:hAnsi="宋体" w:cs="宋体"/>
          <w:color w:val="auto"/>
          <w:kern w:val="2"/>
          <w:sz w:val="21"/>
          <w:szCs w:val="21"/>
          <w:highlight w:val="none"/>
        </w:rPr>
        <w:t>因不可抗力解除合同</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22.违约</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w:t>
      </w:r>
      <w:r>
        <w:rPr>
          <w:rFonts w:ascii="宋体" w:hAnsi="宋体"/>
          <w:color w:val="auto"/>
          <w:kern w:val="2"/>
          <w:sz w:val="21"/>
          <w:szCs w:val="21"/>
          <w:highlight w:val="none"/>
        </w:rPr>
        <w:tab/>
      </w:r>
      <w:r>
        <w:rPr>
          <w:rFonts w:ascii="宋体" w:hAnsi="宋体" w:cs="宋体"/>
          <w:color w:val="auto"/>
          <w:kern w:val="2"/>
          <w:sz w:val="21"/>
          <w:szCs w:val="21"/>
          <w:highlight w:val="none"/>
        </w:rPr>
        <w:t>承包人违约</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22.1.1</w:t>
      </w:r>
      <w:r>
        <w:rPr>
          <w:rFonts w:ascii="宋体" w:hAnsi="宋体"/>
          <w:color w:val="auto"/>
          <w:kern w:val="2"/>
          <w:sz w:val="21"/>
          <w:szCs w:val="21"/>
          <w:highlight w:val="none"/>
        </w:rPr>
        <w:tab/>
      </w:r>
      <w:r>
        <w:rPr>
          <w:rFonts w:ascii="宋体" w:hAnsi="宋体" w:cs="宋体"/>
          <w:color w:val="auto"/>
          <w:kern w:val="2"/>
          <w:sz w:val="21"/>
          <w:szCs w:val="21"/>
          <w:highlight w:val="none"/>
        </w:rPr>
        <w:t>承包人违约的情形</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在履行合同过程中发生的下列情况属承包人违约：</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（1）承包人违反第 1.8 款或第 4.3 款的约定，私自将合同的全部或部分权利转让给其</w:t>
      </w:r>
    </w:p>
    <w:p>
      <w:pPr>
        <w:adjustRightInd/>
        <w:ind w:left="360" w:firstLine="0" w:firstLineChars="0"/>
        <w:jc w:val="both"/>
        <w:textAlignment w:val="auto"/>
        <w:rPr>
          <w:rFonts w:ascii="宋体" w:hAnsi="宋体"/>
          <w:color w:val="auto"/>
          <w:kern w:val="2"/>
          <w:sz w:val="21"/>
          <w:szCs w:val="21"/>
          <w:highlight w:val="none"/>
        </w:rPr>
      </w:pPr>
      <w:bookmarkStart w:id="743" w:name="page119"/>
      <w:bookmarkEnd w:id="743"/>
      <w:r>
        <w:rPr>
          <w:rFonts w:ascii="宋体" w:hAnsi="宋体" w:cs="宋体"/>
          <w:color w:val="auto"/>
          <w:kern w:val="2"/>
          <w:sz w:val="21"/>
          <w:szCs w:val="21"/>
          <w:highlight w:val="none"/>
        </w:rPr>
        <w:t>他人，或私自将合同的全部或部分义务转移给其他人；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（2）承包人违反第 5.3 款或第 6.4 款的约定，未经监理人批准，私自将已按合同约定进入施工场地的施工设备、临时设施或材料撤离施工场地；</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（3）承包人违反第 5.4 款的约定使用了不合格材料或工程设备，工程质量达不到标准要求，又拒绝清除不合格工程；</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（4）承包人未能按合同进度计划及时完成合同约定的工作，已造成或预期造成工期延误；</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（5）承包人在缺陷责任期内，未能对工程接收证书所列的缺陷清单的内容或缺陷责任期内发生的缺陷进行修复，而又拒绝按监理人指示再进行修补；</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（6）承包人无法继续履行或明确表示不履行或实质上已停止履行合同；</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（7）承包人不按合同约定履行义务的其他情况。</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22.1.2</w:t>
      </w:r>
      <w:r>
        <w:rPr>
          <w:rFonts w:ascii="宋体" w:hAnsi="宋体"/>
          <w:color w:val="auto"/>
          <w:kern w:val="2"/>
          <w:sz w:val="21"/>
          <w:szCs w:val="21"/>
          <w:highlight w:val="none"/>
        </w:rPr>
        <w:tab/>
      </w:r>
      <w:r>
        <w:rPr>
          <w:rFonts w:ascii="宋体" w:hAnsi="宋体" w:cs="宋体"/>
          <w:color w:val="auto"/>
          <w:kern w:val="2"/>
          <w:sz w:val="21"/>
          <w:szCs w:val="21"/>
          <w:highlight w:val="none"/>
        </w:rPr>
        <w:t>对承包人违约的处理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（1）承包人发生第 22.1.1（6）目约定的违约情况时，发包人可通知承包人立即解除合同，并按有关法律处理。</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（2）承包人发生除第 22.1.1（6）目约定以外的其他违约情况时，监理人可向承包人发出整改通知，要求其在指定的期限内改正。承包人应承担其违约所引起的费用增加和（或）工期延误。</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（3）经检查证明承包人已采取了有效措施纠正违约行为，具备复工条件的，可由监理人签发复工通知复工。</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22.1.3</w:t>
      </w:r>
      <w:r>
        <w:rPr>
          <w:rFonts w:ascii="宋体" w:hAnsi="宋体"/>
          <w:color w:val="auto"/>
          <w:kern w:val="2"/>
          <w:sz w:val="21"/>
          <w:szCs w:val="21"/>
          <w:highlight w:val="none"/>
        </w:rPr>
        <w:tab/>
      </w:r>
      <w:r>
        <w:rPr>
          <w:rFonts w:ascii="宋体" w:hAnsi="宋体" w:cs="宋体"/>
          <w:color w:val="auto"/>
          <w:kern w:val="2"/>
          <w:sz w:val="21"/>
          <w:szCs w:val="21"/>
          <w:highlight w:val="none"/>
        </w:rPr>
        <w:t>承包人违约解除合同</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22.1.4</w:t>
      </w:r>
      <w:r>
        <w:rPr>
          <w:rFonts w:ascii="宋体" w:hAnsi="宋体"/>
          <w:color w:val="auto"/>
          <w:kern w:val="2"/>
          <w:sz w:val="21"/>
          <w:szCs w:val="21"/>
          <w:highlight w:val="none"/>
        </w:rPr>
        <w:tab/>
      </w:r>
      <w:r>
        <w:rPr>
          <w:rFonts w:ascii="宋体" w:hAnsi="宋体" w:cs="宋体"/>
          <w:color w:val="auto"/>
          <w:kern w:val="2"/>
          <w:sz w:val="21"/>
          <w:szCs w:val="21"/>
          <w:highlight w:val="none"/>
        </w:rPr>
        <w:t>合同解除后的估价、付款和结清</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（1）合同解除后，监理人按第 3.5 款商定或确定承包人实际完成工作的价值，以及承包人已提供的材料、施工设备、工程设备和临时工程等的价值。</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（2）合同解除后，发包人应暂停对承包人的一切付款，查清各项付款和已扣款金额，包括承包人应支付的违约金。</w:t>
      </w:r>
    </w:p>
    <w:p>
      <w:pPr>
        <w:adjustRightInd/>
        <w:ind w:left="360" w:right="346" w:firstLine="420" w:firstLineChars="0"/>
        <w:jc w:val="both"/>
        <w:textAlignment w:val="auto"/>
        <w:rPr>
          <w:rFonts w:ascii="宋体" w:hAnsi="宋体"/>
          <w:color w:val="auto"/>
          <w:kern w:val="2"/>
          <w:sz w:val="21"/>
          <w:szCs w:val="21"/>
          <w:highlight w:val="none"/>
        </w:rPr>
      </w:pPr>
      <w:bookmarkStart w:id="744" w:name="page120"/>
      <w:bookmarkEnd w:id="744"/>
      <w:r>
        <w:rPr>
          <w:rFonts w:ascii="宋体" w:hAnsi="宋体" w:cs="宋体"/>
          <w:color w:val="auto"/>
          <w:kern w:val="2"/>
          <w:sz w:val="21"/>
          <w:szCs w:val="21"/>
          <w:highlight w:val="none"/>
        </w:rPr>
        <w:t>（3）合同解除后，发包人应按第 23.4 款的约定向承包人索赔由于解除合同给发包人造成的损失。</w:t>
      </w:r>
    </w:p>
    <w:p>
      <w:pPr>
        <w:adjustRightInd/>
        <w:ind w:left="780" w:right="34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（4）合同双方确认上述往来款项后，出具最终结清付款证书，结清全部合同款项。（5）发包人和承包人未能就解除合同后的结清达成一致而形成争议的，按第 24 条的约定办理。</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22.1.5</w:t>
      </w:r>
      <w:r>
        <w:rPr>
          <w:rFonts w:ascii="宋体" w:hAnsi="宋体"/>
          <w:color w:val="auto"/>
          <w:kern w:val="2"/>
          <w:sz w:val="21"/>
          <w:szCs w:val="21"/>
          <w:highlight w:val="none"/>
        </w:rPr>
        <w:tab/>
      </w:r>
      <w:r>
        <w:rPr>
          <w:rFonts w:ascii="宋体" w:hAnsi="宋体" w:cs="宋体"/>
          <w:color w:val="auto"/>
          <w:kern w:val="2"/>
          <w:sz w:val="21"/>
          <w:szCs w:val="21"/>
          <w:highlight w:val="none"/>
        </w:rPr>
        <w:t>协议利益的转让</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因承包人违约解除合同的，发包人有权要求承包人将其为实施合同而签订的材料和设备的订货协议或任何服务协议利益转让给发包人，并在解除合同后的 14 天内，依法办理转让手续。</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22.1.6</w:t>
      </w:r>
      <w:r>
        <w:rPr>
          <w:rFonts w:ascii="宋体" w:hAnsi="宋体"/>
          <w:color w:val="auto"/>
          <w:kern w:val="2"/>
          <w:sz w:val="21"/>
          <w:szCs w:val="21"/>
          <w:highlight w:val="none"/>
        </w:rPr>
        <w:tab/>
      </w:r>
      <w:r>
        <w:rPr>
          <w:rFonts w:ascii="宋体" w:hAnsi="宋体" w:cs="宋体"/>
          <w:color w:val="auto"/>
          <w:kern w:val="2"/>
          <w:sz w:val="21"/>
          <w:szCs w:val="21"/>
          <w:highlight w:val="none"/>
        </w:rPr>
        <w:t>紧急情况下无能力或不愿进行抢救</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w:t>
      </w:r>
      <w:r>
        <w:rPr>
          <w:rFonts w:ascii="宋体" w:hAnsi="宋体"/>
          <w:color w:val="auto"/>
          <w:kern w:val="2"/>
          <w:sz w:val="21"/>
          <w:szCs w:val="21"/>
          <w:highlight w:val="none"/>
        </w:rPr>
        <w:tab/>
      </w:r>
      <w:r>
        <w:rPr>
          <w:rFonts w:ascii="宋体" w:hAnsi="宋体" w:cs="宋体"/>
          <w:color w:val="auto"/>
          <w:kern w:val="2"/>
          <w:sz w:val="21"/>
          <w:szCs w:val="21"/>
          <w:highlight w:val="none"/>
        </w:rPr>
        <w:t>发包人违约</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22.2.1</w:t>
      </w:r>
      <w:r>
        <w:rPr>
          <w:rFonts w:ascii="宋体" w:hAnsi="宋体"/>
          <w:color w:val="auto"/>
          <w:kern w:val="2"/>
          <w:sz w:val="21"/>
          <w:szCs w:val="21"/>
          <w:highlight w:val="none"/>
        </w:rPr>
        <w:tab/>
      </w:r>
      <w:r>
        <w:rPr>
          <w:rFonts w:ascii="宋体" w:hAnsi="宋体" w:cs="宋体"/>
          <w:color w:val="auto"/>
          <w:kern w:val="2"/>
          <w:sz w:val="21"/>
          <w:szCs w:val="21"/>
          <w:highlight w:val="none"/>
        </w:rPr>
        <w:t>发包人违约的情形</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在履行合同过程中发生的下列情形，属发包人违约：</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（1）发包人未能按合同约定支付预付款或合同价款，或拖延、拒绝批准付款申请和支付凭证，导致付款延误的；</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（2）发包人原因造成停工的；</w:t>
      </w:r>
    </w:p>
    <w:p>
      <w:pPr>
        <w:adjustRightInd/>
        <w:ind w:left="780" w:right="586"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（3）监理人无正当理由没有在约定期限内发出复工指示，导致承包人无法复工的；（4）发包人无法继续履行或明确表示不履行或实质上已停止履行合同的；（5）发包人不履行合同约定其他义务的。</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22.2.2</w:t>
      </w:r>
      <w:r>
        <w:rPr>
          <w:rFonts w:ascii="宋体" w:hAnsi="宋体"/>
          <w:color w:val="auto"/>
          <w:kern w:val="2"/>
          <w:sz w:val="21"/>
          <w:szCs w:val="21"/>
          <w:highlight w:val="none"/>
        </w:rPr>
        <w:tab/>
      </w:r>
      <w:r>
        <w:rPr>
          <w:rFonts w:ascii="宋体" w:hAnsi="宋体" w:cs="宋体"/>
          <w:color w:val="auto"/>
          <w:kern w:val="2"/>
          <w:sz w:val="21"/>
          <w:szCs w:val="21"/>
          <w:highlight w:val="none"/>
        </w:rPr>
        <w:t>承包人有权暂停施工</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发包人发生除第 22.2.1（4）目以外的违约情况时，承包人可向发包人发出通知，要求发包人采取有效措施纠正违约行为。发包人收到承包人通知后的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22.2.3</w:t>
      </w:r>
      <w:r>
        <w:rPr>
          <w:rFonts w:ascii="宋体" w:hAnsi="宋体"/>
          <w:color w:val="auto"/>
          <w:kern w:val="2"/>
          <w:sz w:val="21"/>
          <w:szCs w:val="21"/>
          <w:highlight w:val="none"/>
        </w:rPr>
        <w:tab/>
      </w:r>
      <w:r>
        <w:rPr>
          <w:rFonts w:ascii="宋体" w:hAnsi="宋体" w:cs="宋体"/>
          <w:color w:val="auto"/>
          <w:kern w:val="2"/>
          <w:sz w:val="21"/>
          <w:szCs w:val="21"/>
          <w:highlight w:val="none"/>
        </w:rPr>
        <w:t>发包人违约解除合同</w:t>
      </w:r>
    </w:p>
    <w:p>
      <w:pPr>
        <w:adjustRightInd/>
        <w:ind w:right="66" w:firstLine="0" w:firstLineChars="0"/>
        <w:jc w:val="center"/>
        <w:textAlignment w:val="auto"/>
        <w:rPr>
          <w:rFonts w:ascii="宋体" w:hAnsi="宋体" w:cs="宋体"/>
          <w:color w:val="auto"/>
          <w:kern w:val="2"/>
          <w:sz w:val="21"/>
          <w:szCs w:val="21"/>
          <w:highlight w:val="none"/>
        </w:rPr>
      </w:pPr>
      <w:r>
        <w:rPr>
          <w:rFonts w:ascii="宋体" w:hAnsi="宋体" w:cs="宋体"/>
          <w:color w:val="auto"/>
          <w:kern w:val="2"/>
          <w:sz w:val="21"/>
          <w:szCs w:val="21"/>
          <w:highlight w:val="none"/>
        </w:rPr>
        <w:t>（1）发生第 22.2.1（4）目的违约情况时，承包人可书面通知发包人解除合同。</w:t>
      </w:r>
      <w:bookmarkStart w:id="745" w:name="page121"/>
      <w:bookmarkEnd w:id="745"/>
    </w:p>
    <w:p>
      <w:pPr>
        <w:adjustRightInd/>
        <w:ind w:right="66" w:firstLine="0" w:firstLineChars="0"/>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（2）承包人按第 22.2.2 项暂停施工 28 天后，发包人仍不纠正违约行为的，承包人可向发包人发出解除合同通知。但承包人的这一行动不免除发包人承担的违约责任，也不影响承包人根据合同约定享有的索赔权利。</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22.2.4</w:t>
      </w:r>
      <w:r>
        <w:rPr>
          <w:rFonts w:ascii="宋体" w:hAnsi="宋体"/>
          <w:color w:val="auto"/>
          <w:kern w:val="2"/>
          <w:sz w:val="21"/>
          <w:szCs w:val="21"/>
          <w:highlight w:val="none"/>
        </w:rPr>
        <w:tab/>
      </w:r>
      <w:r>
        <w:rPr>
          <w:rFonts w:ascii="宋体" w:hAnsi="宋体" w:cs="宋体"/>
          <w:color w:val="auto"/>
          <w:kern w:val="2"/>
          <w:sz w:val="21"/>
          <w:szCs w:val="21"/>
          <w:highlight w:val="none"/>
        </w:rPr>
        <w:t>解除合同后的付款</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因发包人违约解除合同的，发包人应在解除合同后 28 天内向承包人支付下列金额，承包人应在此期限内及时向发包人提交要求支付下列金额的有关资料和凭证：</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（1）合同解除日以前所完成工作的价款；</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（2）承包人为该工程施工订购并已付款的材料、工程设备和其他物品的金额。发包人付还后，该材料、工程设备和其他物品归发包人所有；</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（3）承包人为完成工程所发生的，而发包人未支付的金额；</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（4）承包人撤离施工场地以及遣散承包人人员的金额；</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（5）由于解除合同应赔偿的承包人损失；</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（6）按合同约定在合同解除日前应支付给承包人的其他金额。</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发包人应按本项约定支付上述金额并退还质量保证金或退还质量保证金保函和履约担保，但有权要求承包人支付应偿还给发包人的各项金额。</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22.2.5</w:t>
      </w:r>
      <w:r>
        <w:rPr>
          <w:rFonts w:ascii="宋体" w:hAnsi="宋体"/>
          <w:color w:val="auto"/>
          <w:kern w:val="2"/>
          <w:sz w:val="21"/>
          <w:szCs w:val="21"/>
          <w:highlight w:val="none"/>
        </w:rPr>
        <w:tab/>
      </w:r>
      <w:r>
        <w:rPr>
          <w:rFonts w:ascii="宋体" w:hAnsi="宋体" w:cs="宋体"/>
          <w:color w:val="auto"/>
          <w:kern w:val="2"/>
          <w:sz w:val="21"/>
          <w:szCs w:val="21"/>
          <w:highlight w:val="none"/>
        </w:rPr>
        <w:t>解除合同后的承包人撤离</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因发包人违约而解除合同后，承包人应妥善做好已竣工工程和已购材料、设备的保护和移交工作，按发包人要求将承包人设备和人员撤出施工场地。承包人撤出施工场地应遵守第 18.7.1 项的约定，发包人应为承包人撤出提供必要条件。</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22.3</w:t>
      </w:r>
      <w:r>
        <w:rPr>
          <w:rFonts w:ascii="宋体" w:hAnsi="宋体"/>
          <w:color w:val="auto"/>
          <w:kern w:val="2"/>
          <w:sz w:val="21"/>
          <w:szCs w:val="21"/>
          <w:highlight w:val="none"/>
        </w:rPr>
        <w:tab/>
      </w:r>
      <w:r>
        <w:rPr>
          <w:rFonts w:ascii="宋体" w:hAnsi="宋体" w:cs="宋体"/>
          <w:color w:val="auto"/>
          <w:kern w:val="2"/>
          <w:sz w:val="21"/>
          <w:szCs w:val="21"/>
          <w:highlight w:val="none"/>
        </w:rPr>
        <w:t>第三人造成的违约</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在履行合同过程中，一方当事人因第三人的原因造成违约的，应当向对方当事人承担违约责任。一方当事人和第三人之间的纠纷，依照法律规定或者按照约定解决。</w:t>
      </w:r>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23.索赔</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23.1</w:t>
      </w:r>
      <w:r>
        <w:rPr>
          <w:rFonts w:ascii="宋体" w:hAnsi="宋体"/>
          <w:color w:val="auto"/>
          <w:kern w:val="2"/>
          <w:sz w:val="21"/>
          <w:szCs w:val="21"/>
          <w:highlight w:val="none"/>
        </w:rPr>
        <w:tab/>
      </w:r>
      <w:r>
        <w:rPr>
          <w:rFonts w:ascii="宋体" w:hAnsi="宋体" w:cs="宋体"/>
          <w:color w:val="auto"/>
          <w:kern w:val="2"/>
          <w:sz w:val="21"/>
          <w:szCs w:val="21"/>
          <w:highlight w:val="none"/>
        </w:rPr>
        <w:t>承包人索赔的提出</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根据合同约定，承包人认为有权得到追加付款和（或）延长工期的，应按以下程序向发包人提出索赔：</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（1）承包人应在知道或应当知道索赔事件发生后 28 天内，向监理人递交索赔意向通知书，并说明发生索赔事件的事由。承包人未在前述 28 天内发出索赔意向通知书的，丧失要</w:t>
      </w:r>
      <w:bookmarkStart w:id="746" w:name="page122"/>
      <w:bookmarkEnd w:id="746"/>
      <w:r>
        <w:rPr>
          <w:rFonts w:ascii="宋体" w:hAnsi="宋体" w:cs="宋体"/>
          <w:color w:val="auto"/>
          <w:kern w:val="2"/>
          <w:sz w:val="21"/>
          <w:szCs w:val="21"/>
          <w:highlight w:val="none"/>
        </w:rPr>
        <w:t>求追加付款和（或）延长工期的权利；</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（2）承包人应在发出索赔意向通知书后 28 天内，向监理人正式递交索赔通知书。索赔通知书应详细说明索赔理由以及要求追加的付款金额和（或）延长的工期，并附必要的记录和证明材料；</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（3）索赔事件具有连续影响的，承包人应按合理时间间隔继续递交延续索赔通知，说明连续影响的实际情况和记录，列出累计的追加付款金额和（或）工期延长天数；</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（4）在索赔事件影响结束后的 28 天内，承包人应向监理人递交最终索赔通知书，说明最终要求索赔的追加付款金额和延长的工期，并附必要的记录和证明材料。</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23.2</w:t>
      </w:r>
      <w:r>
        <w:rPr>
          <w:rFonts w:ascii="宋体" w:hAnsi="宋体"/>
          <w:color w:val="auto"/>
          <w:kern w:val="2"/>
          <w:sz w:val="21"/>
          <w:szCs w:val="21"/>
          <w:highlight w:val="none"/>
        </w:rPr>
        <w:tab/>
      </w:r>
      <w:r>
        <w:rPr>
          <w:rFonts w:ascii="宋体" w:hAnsi="宋体" w:cs="宋体"/>
          <w:color w:val="auto"/>
          <w:kern w:val="2"/>
          <w:sz w:val="21"/>
          <w:szCs w:val="21"/>
          <w:highlight w:val="none"/>
        </w:rPr>
        <w:t>承包人索赔处理程序</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（1）监理人收到承包人提交的索赔通知书后，应及时审查索赔通知书的内容、查验承包人的记录和证明材料，必要时监理人可要求承包人提交全部原始记录副本。</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（2）监理人应按第 3.5 款商定或确定追加的付款和（或）延长的工期，并在收到上述索赔通知书或有关索赔的进一步证明材料后的 42 天内，将索赔处理结果答复承包人。</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（3）承包人接受索赔处理结果的，发包人应在作出索赔处理结果答复后 28 天内完成赔付。承包人不接受索赔处理结果的，按第 24 条的约定办理。</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23.3</w:t>
      </w:r>
      <w:r>
        <w:rPr>
          <w:rFonts w:ascii="宋体" w:hAnsi="宋体"/>
          <w:color w:val="auto"/>
          <w:kern w:val="2"/>
          <w:sz w:val="21"/>
          <w:szCs w:val="21"/>
          <w:highlight w:val="none"/>
        </w:rPr>
        <w:tab/>
      </w:r>
      <w:r>
        <w:rPr>
          <w:rFonts w:ascii="宋体" w:hAnsi="宋体" w:cs="宋体"/>
          <w:color w:val="auto"/>
          <w:kern w:val="2"/>
          <w:sz w:val="21"/>
          <w:szCs w:val="21"/>
          <w:highlight w:val="none"/>
        </w:rPr>
        <w:t>承包人提出索赔的期限</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23.3.1</w:t>
      </w:r>
      <w:r>
        <w:rPr>
          <w:rFonts w:ascii="宋体" w:hAnsi="宋体"/>
          <w:color w:val="auto"/>
          <w:kern w:val="2"/>
          <w:sz w:val="21"/>
          <w:szCs w:val="21"/>
          <w:highlight w:val="none"/>
        </w:rPr>
        <w:tab/>
      </w:r>
      <w:r>
        <w:rPr>
          <w:rFonts w:ascii="宋体" w:hAnsi="宋体" w:cs="宋体"/>
          <w:color w:val="auto"/>
          <w:kern w:val="2"/>
          <w:sz w:val="21"/>
          <w:szCs w:val="21"/>
          <w:highlight w:val="none"/>
        </w:rPr>
        <w:t>承包人按第 17.5 款的约定接受了竣工付款证书后，应被认为已无权再提出在合同工程接收证书颁发前所发生的任何索赔。</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23.3.2</w:t>
      </w:r>
      <w:r>
        <w:rPr>
          <w:rFonts w:ascii="宋体" w:hAnsi="宋体"/>
          <w:color w:val="auto"/>
          <w:kern w:val="2"/>
          <w:sz w:val="21"/>
          <w:szCs w:val="21"/>
          <w:highlight w:val="none"/>
        </w:rPr>
        <w:tab/>
      </w:r>
      <w:r>
        <w:rPr>
          <w:rFonts w:ascii="宋体" w:hAnsi="宋体" w:cs="宋体"/>
          <w:color w:val="auto"/>
          <w:kern w:val="2"/>
          <w:sz w:val="21"/>
          <w:szCs w:val="21"/>
          <w:highlight w:val="none"/>
        </w:rPr>
        <w:t>承包人按第 17.6 款的约定提交的最终结清申请单中，只限于提出工程接收证书颁发后发生的索赔。提出索赔的期限自接受最终结清证书时终止。</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23.4</w:t>
      </w:r>
      <w:r>
        <w:rPr>
          <w:rFonts w:ascii="宋体" w:hAnsi="宋体"/>
          <w:color w:val="auto"/>
          <w:kern w:val="2"/>
          <w:sz w:val="21"/>
          <w:szCs w:val="21"/>
          <w:highlight w:val="none"/>
        </w:rPr>
        <w:tab/>
      </w:r>
      <w:r>
        <w:rPr>
          <w:rFonts w:ascii="宋体" w:hAnsi="宋体" w:cs="宋体"/>
          <w:color w:val="auto"/>
          <w:kern w:val="2"/>
          <w:sz w:val="21"/>
          <w:szCs w:val="21"/>
          <w:highlight w:val="none"/>
        </w:rPr>
        <w:t>发包人的索赔</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23.4.1</w:t>
      </w:r>
      <w:r>
        <w:rPr>
          <w:rFonts w:ascii="宋体" w:hAnsi="宋体"/>
          <w:color w:val="auto"/>
          <w:kern w:val="2"/>
          <w:sz w:val="21"/>
          <w:szCs w:val="21"/>
          <w:highlight w:val="none"/>
        </w:rPr>
        <w:tab/>
      </w:r>
      <w:r>
        <w:rPr>
          <w:rFonts w:ascii="宋体" w:hAnsi="宋体" w:cs="宋体"/>
          <w:color w:val="auto"/>
          <w:kern w:val="2"/>
          <w:sz w:val="21"/>
          <w:szCs w:val="21"/>
          <w:highlight w:val="none"/>
        </w:rPr>
        <w:t>发生索赔事件后，监理人应及时书面通知承包人，详细说明发包人有权得到的索赔金额和（或）延长缺陷责任期的细节和依据。发包人提出索赔的期限和要求与第 23.3款的约定相同，延长缺陷责任期的通知应在缺陷责任期届满前发出。</w:t>
      </w:r>
    </w:p>
    <w:p>
      <w:pPr>
        <w:tabs>
          <w:tab w:val="left" w:pos="1600"/>
        </w:tabs>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23.4.2</w:t>
      </w:r>
      <w:r>
        <w:rPr>
          <w:rFonts w:ascii="宋体" w:hAnsi="宋体"/>
          <w:color w:val="auto"/>
          <w:kern w:val="2"/>
          <w:sz w:val="21"/>
          <w:szCs w:val="21"/>
          <w:highlight w:val="none"/>
        </w:rPr>
        <w:tab/>
      </w:r>
      <w:r>
        <w:rPr>
          <w:rFonts w:ascii="宋体" w:hAnsi="宋体" w:cs="宋体"/>
          <w:color w:val="auto"/>
          <w:kern w:val="2"/>
          <w:sz w:val="21"/>
          <w:szCs w:val="21"/>
          <w:highlight w:val="none"/>
        </w:rPr>
        <w:t>监理人按第 3.5 款商定或确定发包人从承包人处得到赔付的金额和（或）缺陷责任期的延长期。承包人应付给发包人的金额可从拟支付给承包人的合同价款中扣除，或由承包人以其他方式支付给发包人。</w:t>
      </w:r>
      <w:bookmarkStart w:id="747" w:name="page123"/>
      <w:bookmarkEnd w:id="747"/>
    </w:p>
    <w:p>
      <w:pPr>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24.争议的解决</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24.1</w:t>
      </w:r>
      <w:r>
        <w:rPr>
          <w:rFonts w:ascii="宋体" w:hAnsi="宋体"/>
          <w:color w:val="auto"/>
          <w:kern w:val="2"/>
          <w:sz w:val="21"/>
          <w:szCs w:val="21"/>
          <w:highlight w:val="none"/>
        </w:rPr>
        <w:tab/>
      </w:r>
      <w:r>
        <w:rPr>
          <w:rFonts w:ascii="宋体" w:hAnsi="宋体" w:cs="宋体"/>
          <w:color w:val="auto"/>
          <w:kern w:val="2"/>
          <w:sz w:val="21"/>
          <w:szCs w:val="21"/>
          <w:highlight w:val="none"/>
        </w:rPr>
        <w:t>争议的解决方式</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（1）向约定的仲裁委员会申请仲裁；</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（2）向有管辖权的人民法院提起诉讼。</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24.2</w:t>
      </w:r>
      <w:r>
        <w:rPr>
          <w:rFonts w:ascii="宋体" w:hAnsi="宋体"/>
          <w:color w:val="auto"/>
          <w:kern w:val="2"/>
          <w:sz w:val="21"/>
          <w:szCs w:val="21"/>
          <w:highlight w:val="none"/>
        </w:rPr>
        <w:tab/>
      </w:r>
      <w:r>
        <w:rPr>
          <w:rFonts w:ascii="宋体" w:hAnsi="宋体" w:cs="宋体"/>
          <w:color w:val="auto"/>
          <w:kern w:val="2"/>
          <w:sz w:val="21"/>
          <w:szCs w:val="21"/>
          <w:highlight w:val="none"/>
        </w:rPr>
        <w:t>友好解决</w:t>
      </w:r>
    </w:p>
    <w:p>
      <w:pPr>
        <w:adjustRightInd/>
        <w:ind w:left="78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在提请争议评审、仲裁或者诉讼前，以及在争议评审、仲裁或诉讼过程中，发包人和承包人均可共同努力友好协商解决争议。</w:t>
      </w:r>
    </w:p>
    <w:p>
      <w:pPr>
        <w:tabs>
          <w:tab w:val="left" w:pos="1060"/>
        </w:tabs>
        <w:adjustRightInd/>
        <w:ind w:left="360" w:firstLine="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w:t>
      </w:r>
      <w:r>
        <w:rPr>
          <w:rFonts w:ascii="宋体" w:hAnsi="宋体"/>
          <w:color w:val="auto"/>
          <w:kern w:val="2"/>
          <w:sz w:val="21"/>
          <w:szCs w:val="21"/>
          <w:highlight w:val="none"/>
        </w:rPr>
        <w:tab/>
      </w:r>
      <w:r>
        <w:rPr>
          <w:rFonts w:ascii="宋体" w:hAnsi="宋体" w:cs="宋体"/>
          <w:color w:val="auto"/>
          <w:kern w:val="2"/>
          <w:sz w:val="21"/>
          <w:szCs w:val="21"/>
          <w:highlight w:val="none"/>
        </w:rPr>
        <w:t>争议评审</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24.3.1 采用争议评审的，发包人和承包人应在开工日后的 28 天内或在争议发生后，协商成立争议评审组。争议评审组由有合同管理和工程实践经验的专家组成。</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24.3.3 被申请人在收到申请人评审申请报告副本后的 28 天内，向争议评审组提交一份答辩报告，并附证明材料。被申请人应将答辩报告的副本同时提交给申请人和监理人。</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24.3.4 争议评审组在收到合同双方报告后的 14 天内，邀请双方代表和有关人员在合同约定的期限内举行调查会，向双方调查争议细节；必要时争议评审组可要求双方进一步提供补充材料。举行调查会的期限见合同条款专用部分。</w:t>
      </w:r>
    </w:p>
    <w:p>
      <w:pPr>
        <w:adjustRightInd/>
        <w:ind w:left="360" w:right="2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24.3.5 在调查会结束后的 14 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pPr>
        <w:adjustRightInd/>
        <w:ind w:left="360" w:right="346" w:firstLine="420" w:firstLineChars="0"/>
        <w:jc w:val="both"/>
        <w:textAlignment w:val="auto"/>
        <w:rPr>
          <w:rFonts w:ascii="宋体" w:hAnsi="宋体"/>
          <w:color w:val="auto"/>
          <w:kern w:val="2"/>
          <w:sz w:val="21"/>
          <w:szCs w:val="21"/>
          <w:highlight w:val="none"/>
        </w:rPr>
      </w:pPr>
      <w:r>
        <w:rPr>
          <w:rFonts w:ascii="宋体" w:hAnsi="宋体" w:cs="宋体"/>
          <w:color w:val="auto"/>
          <w:kern w:val="2"/>
          <w:sz w:val="21"/>
          <w:szCs w:val="21"/>
          <w:highlight w:val="none"/>
        </w:rPr>
        <w:t>24.3.6 发包人和承包人接受评审意见的，由监理人根据评审意见拟定执行协议，经争议双方签字后作为合同的补充文件，并遵照执行。</w:t>
      </w:r>
    </w:p>
    <w:p>
      <w:pPr>
        <w:tabs>
          <w:tab w:val="left" w:pos="1600"/>
        </w:tabs>
        <w:adjustRightInd/>
        <w:ind w:left="780" w:firstLine="0" w:firstLineChars="0"/>
        <w:jc w:val="both"/>
        <w:textAlignment w:val="auto"/>
        <w:rPr>
          <w:color w:val="auto"/>
          <w:kern w:val="2"/>
          <w:sz w:val="21"/>
          <w:szCs w:val="24"/>
          <w:highlight w:val="none"/>
        </w:rPr>
      </w:pPr>
      <w:bookmarkStart w:id="748" w:name="page124"/>
      <w:bookmarkEnd w:id="748"/>
      <w:r>
        <w:rPr>
          <w:rFonts w:ascii="宋体" w:hAnsi="宋体" w:cs="宋体"/>
          <w:color w:val="auto"/>
          <w:kern w:val="2"/>
          <w:sz w:val="21"/>
          <w:szCs w:val="21"/>
          <w:highlight w:val="none"/>
        </w:rPr>
        <w:t>24.3.7</w:t>
      </w:r>
      <w:r>
        <w:rPr>
          <w:rFonts w:ascii="宋体" w:hAnsi="宋体"/>
          <w:color w:val="auto"/>
          <w:kern w:val="2"/>
          <w:sz w:val="21"/>
          <w:szCs w:val="21"/>
          <w:highlight w:val="none"/>
        </w:rPr>
        <w:tab/>
      </w:r>
      <w:r>
        <w:rPr>
          <w:rFonts w:ascii="宋体" w:hAnsi="宋体" w:cs="宋体"/>
          <w:color w:val="auto"/>
          <w:kern w:val="2"/>
          <w:sz w:val="21"/>
          <w:szCs w:val="21"/>
          <w:highlight w:val="none"/>
        </w:rPr>
        <w:t>发包人或承包人不接受评审意见，并要求提交仲裁或提起诉讼的，应在收到评审意见后的 14 天内将仲裁或起诉意向书面通知另一方，并抄送监理人，但在仲裁或诉讼结束前应暂按总监理工程师的确定执行。</w:t>
      </w: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sectPr>
          <w:footerReference r:id="rId10" w:type="default"/>
          <w:pgSz w:w="11906" w:h="16838"/>
          <w:pgMar w:top="1440" w:right="1797" w:bottom="1440" w:left="1797" w:header="851" w:footer="992" w:gutter="0"/>
          <w:cols w:space="425" w:num="1"/>
          <w:docGrid w:linePitch="312" w:charSpace="0"/>
        </w:sect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keepNext/>
        <w:keepLines/>
        <w:adjustRightInd/>
        <w:spacing w:afterLines="50" w:line="300" w:lineRule="auto"/>
        <w:ind w:firstLine="0" w:firstLineChars="0"/>
        <w:jc w:val="center"/>
        <w:textAlignment w:val="auto"/>
        <w:outlineLvl w:val="1"/>
        <w:rPr>
          <w:rFonts w:ascii="Arial" w:hAnsi="Arial" w:eastAsia="黑体" w:cs="Arial"/>
          <w:color w:val="auto"/>
          <w:kern w:val="2"/>
          <w:sz w:val="28"/>
          <w:highlight w:val="none"/>
        </w:rPr>
      </w:pPr>
      <w:bookmarkStart w:id="749" w:name="_Toc342296417"/>
      <w:bookmarkStart w:id="750" w:name="_Toc518557355"/>
      <w:bookmarkStart w:id="751" w:name="_Toc486239270"/>
      <w:bookmarkStart w:id="752" w:name="_Toc518557104"/>
      <w:bookmarkStart w:id="753" w:name="_Toc518556708"/>
      <w:bookmarkStart w:id="754" w:name="_Toc499901955"/>
      <w:bookmarkStart w:id="755" w:name="_Toc241459658"/>
      <w:r>
        <w:rPr>
          <w:rFonts w:ascii="Arial" w:hAnsi="Arial" w:eastAsia="黑体" w:cs="Arial"/>
          <w:color w:val="auto"/>
          <w:kern w:val="2"/>
          <w:sz w:val="28"/>
          <w:highlight w:val="none"/>
        </w:rPr>
        <w:t>第二节专用合同条款</w:t>
      </w:r>
      <w:bookmarkEnd w:id="749"/>
      <w:bookmarkEnd w:id="750"/>
      <w:bookmarkEnd w:id="751"/>
      <w:bookmarkEnd w:id="752"/>
      <w:bookmarkEnd w:id="753"/>
      <w:bookmarkEnd w:id="754"/>
      <w:bookmarkEnd w:id="755"/>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rFonts w:ascii="Arial" w:hAnsi="Arial" w:cs="Arial"/>
          <w:color w:val="auto"/>
          <w:kern w:val="2"/>
          <w:sz w:val="21"/>
          <w:szCs w:val="24"/>
          <w:highlight w:val="none"/>
        </w:rPr>
        <w:sectPr>
          <w:footerReference r:id="rId11" w:type="default"/>
          <w:pgSz w:w="11906" w:h="16838"/>
          <w:pgMar w:top="1440" w:right="1797" w:bottom="1440" w:left="1797" w:header="851" w:footer="992" w:gutter="0"/>
          <w:cols w:space="425" w:num="1"/>
          <w:docGrid w:linePitch="312" w:charSpace="0"/>
        </w:sect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center"/>
        <w:textAlignment w:val="auto"/>
        <w:rPr>
          <w:rFonts w:ascii="黑体" w:hAnsi="Arial" w:eastAsia="黑体" w:cs="Arial"/>
          <w:b/>
          <w:color w:val="auto"/>
          <w:kern w:val="2"/>
          <w:sz w:val="28"/>
          <w:szCs w:val="28"/>
          <w:highlight w:val="none"/>
        </w:rPr>
      </w:pPr>
      <w:r>
        <w:rPr>
          <w:rFonts w:hint="eastAsia" w:ascii="黑体" w:hAnsi="Arial" w:eastAsia="黑体" w:cs="Arial"/>
          <w:b/>
          <w:color w:val="auto"/>
          <w:kern w:val="2"/>
          <w:sz w:val="28"/>
          <w:szCs w:val="28"/>
          <w:highlight w:val="none"/>
        </w:rPr>
        <w:t>专用合同条款</w:t>
      </w:r>
    </w:p>
    <w:p>
      <w:pPr>
        <w:adjustRightInd/>
        <w:spacing w:line="381" w:lineRule="exact"/>
        <w:ind w:left="158" w:firstLine="0" w:firstLineChars="0"/>
        <w:textAlignment w:val="auto"/>
        <w:rPr>
          <w:rFonts w:ascii="宋体" w:hAnsi="宋体" w:cs="宋体"/>
          <w:color w:val="auto"/>
          <w:sz w:val="28"/>
          <w:szCs w:val="28"/>
          <w:highlight w:val="none"/>
        </w:rPr>
      </w:pPr>
      <w:r>
        <w:rPr>
          <w:rFonts w:ascii="宋体" w:hAnsi="宋体" w:cs="宋体"/>
          <w:color w:val="auto"/>
          <w:spacing w:val="1"/>
          <w:sz w:val="28"/>
          <w:szCs w:val="28"/>
          <w:highlight w:val="none"/>
        </w:rPr>
        <w:t>1</w:t>
      </w:r>
      <w:r>
        <w:rPr>
          <w:rFonts w:ascii="宋体" w:hAnsi="宋体" w:cs="宋体"/>
          <w:color w:val="auto"/>
          <w:spacing w:val="-2"/>
          <w:sz w:val="28"/>
          <w:szCs w:val="28"/>
          <w:highlight w:val="none"/>
        </w:rPr>
        <w:t>.</w:t>
      </w:r>
      <w:r>
        <w:rPr>
          <w:rFonts w:ascii="宋体" w:hAnsi="宋体" w:cs="宋体"/>
          <w:color w:val="auto"/>
          <w:sz w:val="28"/>
          <w:szCs w:val="28"/>
          <w:highlight w:val="none"/>
        </w:rPr>
        <w:t>一般</w:t>
      </w:r>
      <w:r>
        <w:rPr>
          <w:rFonts w:ascii="宋体" w:hAnsi="宋体" w:cs="宋体"/>
          <w:color w:val="auto"/>
          <w:spacing w:val="-3"/>
          <w:sz w:val="28"/>
          <w:szCs w:val="28"/>
          <w:highlight w:val="none"/>
        </w:rPr>
        <w:t>约</w:t>
      </w:r>
      <w:r>
        <w:rPr>
          <w:rFonts w:ascii="宋体" w:hAnsi="宋体" w:cs="宋体"/>
          <w:color w:val="auto"/>
          <w:sz w:val="28"/>
          <w:szCs w:val="28"/>
          <w:highlight w:val="none"/>
        </w:rPr>
        <w:t>定</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56" w:name="_bookmark97"/>
      <w:bookmarkEnd w:id="756"/>
      <w:r>
        <w:rPr>
          <w:rFonts w:ascii="宋体" w:hAnsi="宋体" w:cs="宋体"/>
          <w:color w:val="auto"/>
          <w:szCs w:val="24"/>
          <w:highlight w:val="none"/>
        </w:rPr>
        <w:t>1.1</w:t>
      </w:r>
      <w:r>
        <w:rPr>
          <w:rFonts w:ascii="宋体" w:hAnsi="宋体" w:cs="宋体"/>
          <w:color w:val="auto"/>
          <w:szCs w:val="24"/>
          <w:highlight w:val="none"/>
        </w:rPr>
        <w:tab/>
      </w:r>
      <w:r>
        <w:rPr>
          <w:rFonts w:ascii="宋体" w:hAnsi="宋体" w:cs="宋体"/>
          <w:color w:val="auto"/>
          <w:szCs w:val="24"/>
          <w:highlight w:val="none"/>
        </w:rPr>
        <w:t>词语定义</w:t>
      </w:r>
    </w:p>
    <w:p>
      <w:pPr>
        <w:adjustRightInd/>
        <w:spacing w:before="5" w:line="240" w:lineRule="exact"/>
        <w:ind w:firstLine="0" w:firstLineChars="0"/>
        <w:textAlignment w:val="auto"/>
        <w:rPr>
          <w:rFonts w:ascii="Calibri" w:hAnsi="Calibri"/>
          <w:color w:val="auto"/>
          <w:szCs w:val="24"/>
          <w:highlight w:val="none"/>
        </w:rPr>
      </w:pPr>
    </w:p>
    <w:p>
      <w:pPr>
        <w:tabs>
          <w:tab w:val="left" w:pos="1314"/>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1.1.2</w:t>
      </w:r>
      <w:r>
        <w:rPr>
          <w:rFonts w:ascii="宋体" w:hAnsi="宋体" w:cs="宋体"/>
          <w:color w:val="auto"/>
          <w:sz w:val="21"/>
          <w:szCs w:val="21"/>
          <w:highlight w:val="none"/>
        </w:rPr>
        <w:tab/>
      </w:r>
      <w:r>
        <w:rPr>
          <w:rFonts w:ascii="宋体" w:hAnsi="宋体"/>
          <w:color w:val="auto"/>
          <w:spacing w:val="-3"/>
          <w:sz w:val="21"/>
          <w:szCs w:val="21"/>
          <w:highlight w:val="none"/>
        </w:rPr>
        <w:t>合</w:t>
      </w:r>
      <w:r>
        <w:rPr>
          <w:rFonts w:ascii="宋体" w:hAnsi="宋体"/>
          <w:color w:val="auto"/>
          <w:sz w:val="21"/>
          <w:szCs w:val="21"/>
          <w:highlight w:val="none"/>
        </w:rPr>
        <w:t>同</w:t>
      </w:r>
      <w:r>
        <w:rPr>
          <w:rFonts w:ascii="宋体" w:hAnsi="宋体"/>
          <w:color w:val="auto"/>
          <w:spacing w:val="-3"/>
          <w:sz w:val="21"/>
          <w:szCs w:val="21"/>
          <w:highlight w:val="none"/>
        </w:rPr>
        <w:t>当</w:t>
      </w:r>
      <w:r>
        <w:rPr>
          <w:rFonts w:ascii="宋体" w:hAnsi="宋体"/>
          <w:color w:val="auto"/>
          <w:sz w:val="21"/>
          <w:szCs w:val="21"/>
          <w:highlight w:val="none"/>
        </w:rPr>
        <w:t>事</w:t>
      </w:r>
      <w:r>
        <w:rPr>
          <w:rFonts w:ascii="宋体" w:hAnsi="宋体"/>
          <w:color w:val="auto"/>
          <w:spacing w:val="-3"/>
          <w:sz w:val="21"/>
          <w:szCs w:val="21"/>
          <w:highlight w:val="none"/>
        </w:rPr>
        <w:t>人</w:t>
      </w:r>
      <w:r>
        <w:rPr>
          <w:rFonts w:ascii="宋体" w:hAnsi="宋体"/>
          <w:color w:val="auto"/>
          <w:sz w:val="21"/>
          <w:szCs w:val="21"/>
          <w:highlight w:val="none"/>
        </w:rPr>
        <w:t>和</w:t>
      </w:r>
      <w:r>
        <w:rPr>
          <w:rFonts w:ascii="宋体" w:hAnsi="宋体"/>
          <w:color w:val="auto"/>
          <w:spacing w:val="-3"/>
          <w:sz w:val="21"/>
          <w:szCs w:val="21"/>
          <w:highlight w:val="none"/>
        </w:rPr>
        <w:t>人</w:t>
      </w:r>
      <w:r>
        <w:rPr>
          <w:rFonts w:ascii="宋体" w:hAnsi="宋体"/>
          <w:color w:val="auto"/>
          <w:sz w:val="21"/>
          <w:szCs w:val="21"/>
          <w:highlight w:val="none"/>
        </w:rPr>
        <w:t>员</w:t>
      </w:r>
    </w:p>
    <w:p>
      <w:pPr>
        <w:numPr>
          <w:ilvl w:val="3"/>
          <w:numId w:val="7"/>
        </w:numPr>
        <w:tabs>
          <w:tab w:val="left" w:pos="1734"/>
          <w:tab w:val="left" w:pos="8453"/>
        </w:tabs>
        <w:adjustRightInd/>
        <w:spacing w:before="98" w:line="240" w:lineRule="auto"/>
        <w:ind w:left="1734" w:firstLineChars="0"/>
        <w:jc w:val="both"/>
        <w:textAlignment w:val="auto"/>
        <w:rPr>
          <w:rFonts w:ascii="宋体" w:hAnsi="宋体"/>
          <w:color w:val="auto"/>
          <w:sz w:val="21"/>
          <w:szCs w:val="21"/>
          <w:highlight w:val="none"/>
        </w:rPr>
      </w:pP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hint="eastAsia" w:ascii="宋体" w:hAnsi="宋体"/>
          <w:color w:val="auto"/>
          <w:kern w:val="2"/>
          <w:sz w:val="21"/>
          <w:szCs w:val="24"/>
          <w:highlight w:val="none"/>
          <w:u w:val="single"/>
        </w:rPr>
        <w:t>中国劳动关系学院</w:t>
      </w:r>
      <w:r>
        <w:rPr>
          <w:rFonts w:ascii="宋体" w:hAnsi="宋体"/>
          <w:color w:val="auto"/>
          <w:sz w:val="21"/>
          <w:szCs w:val="21"/>
          <w:highlight w:val="none"/>
          <w:u w:val="single" w:color="000000"/>
        </w:rPr>
        <w:tab/>
      </w:r>
    </w:p>
    <w:p>
      <w:pPr>
        <w:numPr>
          <w:ilvl w:val="3"/>
          <w:numId w:val="7"/>
        </w:numPr>
        <w:tabs>
          <w:tab w:val="left" w:pos="1734"/>
          <w:tab w:val="left" w:pos="8453"/>
        </w:tabs>
        <w:adjustRightInd/>
        <w:spacing w:before="98" w:line="240" w:lineRule="auto"/>
        <w:ind w:left="1734" w:firstLineChars="0"/>
        <w:jc w:val="both"/>
        <w:textAlignment w:val="auto"/>
        <w:rPr>
          <w:rFonts w:ascii="宋体" w:hAnsi="宋体"/>
          <w:color w:val="auto"/>
          <w:sz w:val="21"/>
          <w:szCs w:val="21"/>
          <w:highlight w:val="none"/>
          <w:lang w:eastAsia="en-US"/>
        </w:rPr>
      </w:pPr>
      <w:r>
        <w:rPr>
          <w:rFonts w:ascii="宋体" w:hAnsi="宋体"/>
          <w:color w:val="auto"/>
          <w:sz w:val="21"/>
          <w:szCs w:val="21"/>
          <w:highlight w:val="none"/>
          <w:lang w:eastAsia="en-US"/>
        </w:rPr>
        <w:t>承</w:t>
      </w:r>
      <w:r>
        <w:rPr>
          <w:rFonts w:ascii="宋体" w:hAnsi="宋体"/>
          <w:color w:val="auto"/>
          <w:spacing w:val="-3"/>
          <w:sz w:val="21"/>
          <w:szCs w:val="21"/>
          <w:highlight w:val="none"/>
          <w:lang w:eastAsia="en-US"/>
        </w:rPr>
        <w:t>包</w:t>
      </w:r>
      <w:r>
        <w:rPr>
          <w:rFonts w:ascii="宋体" w:hAnsi="宋体"/>
          <w:color w:val="auto"/>
          <w:sz w:val="21"/>
          <w:szCs w:val="21"/>
          <w:highlight w:val="none"/>
          <w:lang w:eastAsia="en-US"/>
        </w:rPr>
        <w:t>人：</w:t>
      </w:r>
      <w:r>
        <w:rPr>
          <w:rFonts w:hint="eastAsia" w:ascii="宋体" w:hAnsi="宋体"/>
          <w:color w:val="auto"/>
          <w:sz w:val="21"/>
          <w:szCs w:val="21"/>
          <w:highlight w:val="none"/>
          <w:u w:val="single"/>
          <w:lang w:eastAsia="en-US"/>
        </w:rPr>
        <w:t>待定</w:t>
      </w:r>
      <w:r>
        <w:rPr>
          <w:rFonts w:ascii="宋体" w:hAnsi="宋体"/>
          <w:color w:val="auto"/>
          <w:sz w:val="21"/>
          <w:szCs w:val="21"/>
          <w:highlight w:val="none"/>
          <w:u w:val="single" w:color="000000"/>
          <w:lang w:eastAsia="en-US"/>
        </w:rPr>
        <w:tab/>
      </w:r>
    </w:p>
    <w:p>
      <w:pPr>
        <w:tabs>
          <w:tab w:val="left" w:pos="1734"/>
          <w:tab w:val="left" w:pos="8453"/>
        </w:tabs>
        <w:adjustRightInd/>
        <w:spacing w:before="99" w:line="240" w:lineRule="auto"/>
        <w:ind w:left="789"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1.1.2</w:t>
      </w:r>
      <w:r>
        <w:rPr>
          <w:rFonts w:ascii="宋体" w:hAnsi="宋体" w:cs="宋体"/>
          <w:color w:val="auto"/>
          <w:spacing w:val="-3"/>
          <w:sz w:val="21"/>
          <w:szCs w:val="21"/>
          <w:highlight w:val="none"/>
          <w:lang w:eastAsia="en-US"/>
        </w:rPr>
        <w:t>.</w:t>
      </w:r>
      <w:r>
        <w:rPr>
          <w:rFonts w:ascii="宋体" w:hAnsi="宋体" w:cs="宋体"/>
          <w:color w:val="auto"/>
          <w:sz w:val="21"/>
          <w:szCs w:val="21"/>
          <w:highlight w:val="none"/>
          <w:lang w:eastAsia="en-US"/>
        </w:rPr>
        <w:t>6</w:t>
      </w:r>
      <w:r>
        <w:rPr>
          <w:rFonts w:ascii="宋体" w:hAnsi="宋体" w:cs="宋体"/>
          <w:color w:val="auto"/>
          <w:sz w:val="21"/>
          <w:szCs w:val="21"/>
          <w:highlight w:val="none"/>
          <w:lang w:eastAsia="en-US"/>
        </w:rPr>
        <w:tab/>
      </w:r>
      <w:r>
        <w:rPr>
          <w:rFonts w:ascii="宋体" w:hAnsi="宋体"/>
          <w:color w:val="auto"/>
          <w:sz w:val="21"/>
          <w:szCs w:val="21"/>
          <w:highlight w:val="none"/>
          <w:lang w:eastAsia="en-US"/>
        </w:rPr>
        <w:t>监</w:t>
      </w:r>
      <w:r>
        <w:rPr>
          <w:rFonts w:ascii="宋体" w:hAnsi="宋体"/>
          <w:color w:val="auto"/>
          <w:spacing w:val="-3"/>
          <w:sz w:val="21"/>
          <w:szCs w:val="21"/>
          <w:highlight w:val="none"/>
          <w:lang w:eastAsia="en-US"/>
        </w:rPr>
        <w:t>理</w:t>
      </w:r>
      <w:r>
        <w:rPr>
          <w:rFonts w:ascii="宋体" w:hAnsi="宋体"/>
          <w:color w:val="auto"/>
          <w:sz w:val="21"/>
          <w:szCs w:val="21"/>
          <w:highlight w:val="none"/>
          <w:lang w:eastAsia="en-US"/>
        </w:rPr>
        <w:t>人：</w:t>
      </w:r>
      <w:r>
        <w:rPr>
          <w:rFonts w:hint="eastAsia" w:ascii="宋体" w:hAnsi="宋体"/>
          <w:color w:val="auto"/>
          <w:sz w:val="21"/>
          <w:szCs w:val="21"/>
          <w:highlight w:val="none"/>
          <w:u w:val="single"/>
          <w:lang w:eastAsia="en-US"/>
        </w:rPr>
        <w:t>待定</w:t>
      </w:r>
      <w:r>
        <w:rPr>
          <w:rFonts w:ascii="宋体" w:hAnsi="宋体"/>
          <w:color w:val="auto"/>
          <w:sz w:val="21"/>
          <w:szCs w:val="21"/>
          <w:highlight w:val="none"/>
          <w:u w:val="single" w:color="000000"/>
          <w:lang w:eastAsia="en-US"/>
        </w:rPr>
        <w:tab/>
      </w:r>
    </w:p>
    <w:p>
      <w:pPr>
        <w:tabs>
          <w:tab w:val="left" w:pos="1734"/>
        </w:tabs>
        <w:adjustRightInd/>
        <w:spacing w:before="98" w:line="240" w:lineRule="auto"/>
        <w:ind w:left="789"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1.1.2</w:t>
      </w:r>
      <w:r>
        <w:rPr>
          <w:rFonts w:ascii="宋体" w:hAnsi="宋体" w:cs="宋体"/>
          <w:color w:val="auto"/>
          <w:spacing w:val="-3"/>
          <w:sz w:val="21"/>
          <w:szCs w:val="21"/>
          <w:highlight w:val="none"/>
          <w:lang w:eastAsia="en-US"/>
        </w:rPr>
        <w:t>.</w:t>
      </w:r>
      <w:r>
        <w:rPr>
          <w:rFonts w:ascii="宋体" w:hAnsi="宋体" w:cs="宋体"/>
          <w:color w:val="auto"/>
          <w:sz w:val="21"/>
          <w:szCs w:val="21"/>
          <w:highlight w:val="none"/>
          <w:lang w:eastAsia="en-US"/>
        </w:rPr>
        <w:t>8</w:t>
      </w:r>
      <w:r>
        <w:rPr>
          <w:rFonts w:ascii="宋体" w:hAnsi="宋体" w:cs="宋体"/>
          <w:color w:val="auto"/>
          <w:sz w:val="21"/>
          <w:szCs w:val="21"/>
          <w:highlight w:val="none"/>
          <w:lang w:eastAsia="en-US"/>
        </w:rPr>
        <w:tab/>
      </w:r>
      <w:r>
        <w:rPr>
          <w:rFonts w:ascii="宋体" w:hAnsi="宋体"/>
          <w:color w:val="auto"/>
          <w:sz w:val="21"/>
          <w:szCs w:val="21"/>
          <w:highlight w:val="none"/>
          <w:lang w:eastAsia="en-US"/>
        </w:rPr>
        <w:t>发</w:t>
      </w:r>
      <w:r>
        <w:rPr>
          <w:rFonts w:ascii="宋体" w:hAnsi="宋体"/>
          <w:color w:val="auto"/>
          <w:spacing w:val="-3"/>
          <w:sz w:val="21"/>
          <w:szCs w:val="21"/>
          <w:highlight w:val="none"/>
          <w:lang w:eastAsia="en-US"/>
        </w:rPr>
        <w:t>包</w:t>
      </w:r>
      <w:r>
        <w:rPr>
          <w:rFonts w:ascii="宋体" w:hAnsi="宋体"/>
          <w:color w:val="auto"/>
          <w:sz w:val="21"/>
          <w:szCs w:val="21"/>
          <w:highlight w:val="none"/>
          <w:lang w:eastAsia="en-US"/>
        </w:rPr>
        <w:t>人</w:t>
      </w:r>
      <w:r>
        <w:rPr>
          <w:rFonts w:ascii="宋体" w:hAnsi="宋体"/>
          <w:color w:val="auto"/>
          <w:spacing w:val="-3"/>
          <w:sz w:val="21"/>
          <w:szCs w:val="21"/>
          <w:highlight w:val="none"/>
          <w:lang w:eastAsia="en-US"/>
        </w:rPr>
        <w:t>代</w:t>
      </w:r>
      <w:r>
        <w:rPr>
          <w:rFonts w:ascii="宋体" w:hAnsi="宋体"/>
          <w:color w:val="auto"/>
          <w:sz w:val="21"/>
          <w:szCs w:val="21"/>
          <w:highlight w:val="none"/>
          <w:lang w:eastAsia="en-US"/>
        </w:rPr>
        <w:t>表：</w:t>
      </w:r>
    </w:p>
    <w:p>
      <w:pPr>
        <w:adjustRightInd/>
        <w:spacing w:before="1" w:line="100" w:lineRule="exact"/>
        <w:ind w:firstLine="0" w:firstLineChars="0"/>
        <w:textAlignment w:val="auto"/>
        <w:rPr>
          <w:rFonts w:ascii="Calibri" w:hAnsi="Calibri"/>
          <w:color w:val="auto"/>
          <w:sz w:val="10"/>
          <w:szCs w:val="10"/>
          <w:highlight w:val="none"/>
          <w:lang w:eastAsia="en-US"/>
        </w:rPr>
      </w:pPr>
    </w:p>
    <w:p>
      <w:pPr>
        <w:tabs>
          <w:tab w:val="left" w:pos="2364"/>
          <w:tab w:val="left" w:pos="8453"/>
        </w:tabs>
        <w:adjustRightInd/>
        <w:spacing w:line="316" w:lineRule="auto"/>
        <w:ind w:left="1732" w:right="172"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姓</w:t>
      </w:r>
      <w:r>
        <w:rPr>
          <w:rFonts w:ascii="宋体" w:hAnsi="宋体"/>
          <w:color w:val="auto"/>
          <w:sz w:val="21"/>
          <w:szCs w:val="21"/>
          <w:highlight w:val="none"/>
        </w:rPr>
        <w:tab/>
      </w:r>
      <w:r>
        <w:rPr>
          <w:rFonts w:ascii="宋体" w:hAnsi="宋体"/>
          <w:color w:val="auto"/>
          <w:sz w:val="21"/>
          <w:szCs w:val="21"/>
          <w:highlight w:val="none"/>
        </w:rPr>
        <w:t>名</w:t>
      </w:r>
      <w:r>
        <w:rPr>
          <w:rFonts w:ascii="宋体" w:hAnsi="宋体"/>
          <w:color w:val="auto"/>
          <w:spacing w:val="-3"/>
          <w:sz w:val="21"/>
          <w:szCs w:val="21"/>
          <w:highlight w:val="none"/>
        </w:rPr>
        <w:t>：</w:t>
      </w:r>
      <w:r>
        <w:rPr>
          <w:rFonts w:hint="eastAsia" w:ascii="宋体" w:hAnsi="宋体"/>
          <w:color w:val="auto"/>
          <w:sz w:val="21"/>
          <w:szCs w:val="21"/>
          <w:highlight w:val="none"/>
          <w:u w:val="single"/>
        </w:rPr>
        <w:t>待定</w:t>
      </w:r>
      <w:r>
        <w:rPr>
          <w:rFonts w:ascii="宋体" w:hAnsi="宋体"/>
          <w:color w:val="auto"/>
          <w:sz w:val="21"/>
          <w:szCs w:val="21"/>
          <w:highlight w:val="none"/>
          <w:u w:val="single" w:color="000000"/>
        </w:rPr>
        <w:tab/>
      </w:r>
    </w:p>
    <w:p>
      <w:pPr>
        <w:tabs>
          <w:tab w:val="left" w:pos="2364"/>
          <w:tab w:val="left" w:pos="8453"/>
        </w:tabs>
        <w:adjustRightInd/>
        <w:spacing w:line="316" w:lineRule="auto"/>
        <w:ind w:left="1732" w:right="172"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职</w:t>
      </w:r>
      <w:r>
        <w:rPr>
          <w:rFonts w:ascii="宋体" w:hAnsi="宋体"/>
          <w:color w:val="auto"/>
          <w:sz w:val="21"/>
          <w:szCs w:val="21"/>
          <w:highlight w:val="none"/>
        </w:rPr>
        <w:tab/>
      </w:r>
      <w:r>
        <w:rPr>
          <w:rFonts w:ascii="宋体" w:hAnsi="宋体"/>
          <w:color w:val="auto"/>
          <w:sz w:val="21"/>
          <w:szCs w:val="21"/>
          <w:highlight w:val="none"/>
        </w:rPr>
        <w:t>称</w:t>
      </w:r>
      <w:r>
        <w:rPr>
          <w:rFonts w:ascii="宋体" w:hAnsi="宋体"/>
          <w:color w:val="auto"/>
          <w:spacing w:val="-3"/>
          <w:sz w:val="21"/>
          <w:szCs w:val="21"/>
          <w:highlight w:val="none"/>
        </w:rPr>
        <w:t>：</w:t>
      </w:r>
      <w:r>
        <w:rPr>
          <w:rFonts w:ascii="宋体" w:hAnsi="宋体"/>
          <w:color w:val="auto"/>
          <w:sz w:val="21"/>
          <w:szCs w:val="21"/>
          <w:highlight w:val="none"/>
          <w:u w:val="single" w:color="000000"/>
        </w:rPr>
        <w:tab/>
      </w:r>
    </w:p>
    <w:p>
      <w:pPr>
        <w:tabs>
          <w:tab w:val="left" w:pos="2364"/>
          <w:tab w:val="left" w:pos="8453"/>
        </w:tabs>
        <w:adjustRightInd/>
        <w:spacing w:line="316" w:lineRule="auto"/>
        <w:ind w:left="1732" w:right="172"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联系</w:t>
      </w:r>
      <w:r>
        <w:rPr>
          <w:rFonts w:ascii="宋体" w:hAnsi="宋体"/>
          <w:color w:val="auto"/>
          <w:spacing w:val="-3"/>
          <w:sz w:val="21"/>
          <w:szCs w:val="21"/>
          <w:highlight w:val="none"/>
        </w:rPr>
        <w:t>电</w:t>
      </w:r>
      <w:r>
        <w:rPr>
          <w:rFonts w:ascii="宋体" w:hAnsi="宋体"/>
          <w:color w:val="auto"/>
          <w:sz w:val="21"/>
          <w:szCs w:val="21"/>
          <w:highlight w:val="none"/>
        </w:rPr>
        <w:t>话</w:t>
      </w:r>
      <w:r>
        <w:rPr>
          <w:rFonts w:ascii="宋体" w:hAnsi="宋体"/>
          <w:color w:val="auto"/>
          <w:spacing w:val="-2"/>
          <w:sz w:val="21"/>
          <w:szCs w:val="21"/>
          <w:highlight w:val="none"/>
        </w:rPr>
        <w:t>：</w:t>
      </w:r>
      <w:r>
        <w:rPr>
          <w:rFonts w:ascii="宋体" w:hAnsi="宋体"/>
          <w:color w:val="auto"/>
          <w:sz w:val="21"/>
          <w:szCs w:val="21"/>
          <w:highlight w:val="none"/>
          <w:u w:val="single" w:color="000000"/>
        </w:rPr>
        <w:tab/>
      </w:r>
    </w:p>
    <w:p>
      <w:pPr>
        <w:tabs>
          <w:tab w:val="left" w:pos="2364"/>
          <w:tab w:val="left" w:pos="8453"/>
        </w:tabs>
        <w:adjustRightInd/>
        <w:spacing w:line="316" w:lineRule="auto"/>
        <w:ind w:left="1732" w:right="172"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电子</w:t>
      </w:r>
      <w:r>
        <w:rPr>
          <w:rFonts w:ascii="宋体" w:hAnsi="宋体"/>
          <w:color w:val="auto"/>
          <w:spacing w:val="-3"/>
          <w:sz w:val="21"/>
          <w:szCs w:val="21"/>
          <w:highlight w:val="none"/>
        </w:rPr>
        <w:t>信</w:t>
      </w:r>
      <w:r>
        <w:rPr>
          <w:rFonts w:ascii="宋体" w:hAnsi="宋体"/>
          <w:color w:val="auto"/>
          <w:sz w:val="21"/>
          <w:szCs w:val="21"/>
          <w:highlight w:val="none"/>
        </w:rPr>
        <w:t>箱</w:t>
      </w:r>
      <w:r>
        <w:rPr>
          <w:rFonts w:ascii="宋体" w:hAnsi="宋体"/>
          <w:color w:val="auto"/>
          <w:spacing w:val="-2"/>
          <w:sz w:val="21"/>
          <w:szCs w:val="21"/>
          <w:highlight w:val="none"/>
        </w:rPr>
        <w:t>：</w:t>
      </w:r>
      <w:r>
        <w:rPr>
          <w:rFonts w:ascii="宋体" w:hAnsi="宋体"/>
          <w:color w:val="auto"/>
          <w:sz w:val="21"/>
          <w:szCs w:val="21"/>
          <w:highlight w:val="none"/>
          <w:u w:val="single" w:color="000000"/>
        </w:rPr>
        <w:tab/>
      </w:r>
    </w:p>
    <w:p>
      <w:pPr>
        <w:tabs>
          <w:tab w:val="left" w:pos="2364"/>
          <w:tab w:val="left" w:pos="8453"/>
        </w:tabs>
        <w:adjustRightInd/>
        <w:spacing w:line="316" w:lineRule="auto"/>
        <w:ind w:left="1732" w:right="172"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通信</w:t>
      </w:r>
      <w:r>
        <w:rPr>
          <w:rFonts w:ascii="宋体" w:hAnsi="宋体"/>
          <w:color w:val="auto"/>
          <w:spacing w:val="-3"/>
          <w:sz w:val="21"/>
          <w:szCs w:val="21"/>
          <w:highlight w:val="none"/>
        </w:rPr>
        <w:t>地</w:t>
      </w:r>
      <w:r>
        <w:rPr>
          <w:rFonts w:ascii="宋体" w:hAnsi="宋体"/>
          <w:color w:val="auto"/>
          <w:sz w:val="21"/>
          <w:szCs w:val="21"/>
          <w:highlight w:val="none"/>
        </w:rPr>
        <w:t>址</w:t>
      </w:r>
      <w:r>
        <w:rPr>
          <w:rFonts w:ascii="宋体" w:hAnsi="宋体"/>
          <w:color w:val="auto"/>
          <w:spacing w:val="-2"/>
          <w:sz w:val="21"/>
          <w:szCs w:val="21"/>
          <w:highlight w:val="none"/>
        </w:rPr>
        <w:t>：</w:t>
      </w:r>
      <w:r>
        <w:rPr>
          <w:rFonts w:ascii="宋体" w:hAnsi="宋体"/>
          <w:color w:val="auto"/>
          <w:sz w:val="21"/>
          <w:szCs w:val="21"/>
          <w:highlight w:val="none"/>
          <w:u w:val="single" w:color="000000"/>
        </w:rPr>
        <w:tab/>
      </w:r>
    </w:p>
    <w:p>
      <w:pPr>
        <w:numPr>
          <w:ilvl w:val="2"/>
          <w:numId w:val="8"/>
        </w:numPr>
        <w:tabs>
          <w:tab w:val="left" w:pos="1314"/>
        </w:tabs>
        <w:adjustRightInd/>
        <w:spacing w:before="31" w:line="240" w:lineRule="auto"/>
        <w:ind w:left="1314" w:firstLineChars="0"/>
        <w:jc w:val="both"/>
        <w:textAlignment w:val="auto"/>
        <w:rPr>
          <w:rFonts w:ascii="宋体" w:hAnsi="宋体"/>
          <w:color w:val="auto"/>
          <w:sz w:val="21"/>
          <w:szCs w:val="21"/>
          <w:highlight w:val="none"/>
          <w:lang w:eastAsia="en-US"/>
        </w:rPr>
      </w:pPr>
      <w:r>
        <w:rPr>
          <w:rFonts w:ascii="宋体" w:hAnsi="宋体"/>
          <w:color w:val="auto"/>
          <w:spacing w:val="-3"/>
          <w:sz w:val="21"/>
          <w:szCs w:val="21"/>
          <w:highlight w:val="none"/>
          <w:lang w:eastAsia="en-US"/>
        </w:rPr>
        <w:t>工</w:t>
      </w:r>
      <w:r>
        <w:rPr>
          <w:rFonts w:ascii="宋体" w:hAnsi="宋体"/>
          <w:color w:val="auto"/>
          <w:sz w:val="21"/>
          <w:szCs w:val="21"/>
          <w:highlight w:val="none"/>
          <w:lang w:eastAsia="en-US"/>
        </w:rPr>
        <w:t>程</w:t>
      </w:r>
      <w:r>
        <w:rPr>
          <w:rFonts w:ascii="宋体" w:hAnsi="宋体"/>
          <w:color w:val="auto"/>
          <w:spacing w:val="-3"/>
          <w:sz w:val="21"/>
          <w:szCs w:val="21"/>
          <w:highlight w:val="none"/>
          <w:lang w:eastAsia="en-US"/>
        </w:rPr>
        <w:t>和</w:t>
      </w:r>
      <w:r>
        <w:rPr>
          <w:rFonts w:ascii="宋体" w:hAnsi="宋体"/>
          <w:color w:val="auto"/>
          <w:sz w:val="21"/>
          <w:szCs w:val="21"/>
          <w:highlight w:val="none"/>
          <w:lang w:eastAsia="en-US"/>
        </w:rPr>
        <w:t>设备</w:t>
      </w:r>
    </w:p>
    <w:p>
      <w:pPr>
        <w:numPr>
          <w:ilvl w:val="3"/>
          <w:numId w:val="8"/>
        </w:numPr>
        <w:tabs>
          <w:tab w:val="left" w:pos="1734"/>
          <w:tab w:val="left" w:pos="8453"/>
        </w:tabs>
        <w:adjustRightInd/>
        <w:spacing w:before="98" w:line="240" w:lineRule="auto"/>
        <w:ind w:left="1734" w:firstLineChars="0"/>
        <w:jc w:val="both"/>
        <w:textAlignment w:val="auto"/>
        <w:rPr>
          <w:rFonts w:ascii="宋体" w:hAnsi="宋体"/>
          <w:color w:val="auto"/>
          <w:sz w:val="21"/>
          <w:szCs w:val="21"/>
          <w:highlight w:val="none"/>
        </w:rPr>
      </w:pPr>
      <w:r>
        <w:rPr>
          <w:rFonts w:ascii="宋体" w:hAnsi="宋体"/>
          <w:color w:val="auto"/>
          <w:sz w:val="21"/>
          <w:szCs w:val="21"/>
          <w:highlight w:val="none"/>
        </w:rPr>
        <w:t>永</w:t>
      </w:r>
      <w:r>
        <w:rPr>
          <w:rFonts w:ascii="宋体" w:hAnsi="宋体"/>
          <w:color w:val="auto"/>
          <w:spacing w:val="-3"/>
          <w:sz w:val="21"/>
          <w:szCs w:val="21"/>
          <w:highlight w:val="none"/>
        </w:rPr>
        <w:t>久</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w:t>
      </w:r>
      <w:r>
        <w:rPr>
          <w:rFonts w:hint="eastAsia" w:ascii="宋体" w:hAnsi="宋体"/>
          <w:color w:val="auto"/>
          <w:sz w:val="21"/>
          <w:szCs w:val="21"/>
          <w:highlight w:val="none"/>
          <w:u w:val="single" w:color="000000"/>
        </w:rPr>
        <w:t>中国劳动关系学院北京地下三层篮球馆改造工程</w:t>
      </w:r>
      <w:r>
        <w:rPr>
          <w:rFonts w:ascii="宋体" w:hAnsi="宋体"/>
          <w:color w:val="auto"/>
          <w:sz w:val="21"/>
          <w:szCs w:val="21"/>
          <w:highlight w:val="none"/>
          <w:u w:val="single" w:color="000000"/>
        </w:rPr>
        <w:tab/>
      </w:r>
    </w:p>
    <w:p>
      <w:pPr>
        <w:numPr>
          <w:ilvl w:val="3"/>
          <w:numId w:val="8"/>
        </w:numPr>
        <w:tabs>
          <w:tab w:val="left" w:pos="1734"/>
          <w:tab w:val="left" w:pos="8453"/>
        </w:tabs>
        <w:adjustRightInd/>
        <w:spacing w:before="98" w:line="240" w:lineRule="auto"/>
        <w:ind w:left="1734" w:firstLineChars="0"/>
        <w:jc w:val="both"/>
        <w:textAlignment w:val="auto"/>
        <w:rPr>
          <w:rFonts w:ascii="宋体" w:hAnsi="宋体"/>
          <w:color w:val="auto"/>
          <w:sz w:val="21"/>
          <w:szCs w:val="21"/>
          <w:highlight w:val="none"/>
        </w:rPr>
      </w:pPr>
      <w:r>
        <w:rPr>
          <w:rFonts w:ascii="宋体" w:hAnsi="宋体"/>
          <w:color w:val="auto"/>
          <w:sz w:val="21"/>
          <w:szCs w:val="21"/>
          <w:highlight w:val="none"/>
        </w:rPr>
        <w:t>临</w:t>
      </w:r>
      <w:r>
        <w:rPr>
          <w:rFonts w:ascii="宋体" w:hAnsi="宋体"/>
          <w:color w:val="auto"/>
          <w:spacing w:val="-3"/>
          <w:sz w:val="21"/>
          <w:szCs w:val="21"/>
          <w:highlight w:val="none"/>
        </w:rPr>
        <w:t>时</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w:t>
      </w:r>
      <w:r>
        <w:rPr>
          <w:rFonts w:hint="eastAsia" w:ascii="宋体" w:hAnsi="宋体"/>
          <w:color w:val="auto"/>
          <w:sz w:val="21"/>
          <w:szCs w:val="21"/>
          <w:highlight w:val="none"/>
          <w:u w:val="single"/>
        </w:rPr>
        <w:t>施工供水、供电等</w:t>
      </w:r>
      <w:r>
        <w:rPr>
          <w:rFonts w:ascii="宋体" w:hAnsi="宋体"/>
          <w:color w:val="auto"/>
          <w:sz w:val="21"/>
          <w:szCs w:val="21"/>
          <w:highlight w:val="none"/>
          <w:u w:val="single" w:color="000000"/>
        </w:rPr>
        <w:tab/>
      </w:r>
    </w:p>
    <w:p>
      <w:pPr>
        <w:numPr>
          <w:ilvl w:val="3"/>
          <w:numId w:val="9"/>
        </w:numPr>
        <w:tabs>
          <w:tab w:val="left" w:pos="1840"/>
          <w:tab w:val="left" w:pos="8453"/>
        </w:tabs>
        <w:adjustRightInd/>
        <w:spacing w:before="98" w:line="240" w:lineRule="auto"/>
        <w:ind w:left="1840" w:firstLineChars="0"/>
        <w:jc w:val="both"/>
        <w:textAlignment w:val="auto"/>
        <w:rPr>
          <w:rFonts w:ascii="宋体" w:hAnsi="宋体"/>
          <w:color w:val="auto"/>
          <w:sz w:val="21"/>
          <w:szCs w:val="21"/>
          <w:highlight w:val="none"/>
        </w:rPr>
      </w:pPr>
      <w:r>
        <w:rPr>
          <w:rFonts w:ascii="宋体" w:hAnsi="宋体"/>
          <w:color w:val="auto"/>
          <w:sz w:val="21"/>
          <w:szCs w:val="21"/>
          <w:highlight w:val="none"/>
        </w:rPr>
        <w:t>永</w:t>
      </w:r>
      <w:r>
        <w:rPr>
          <w:rFonts w:ascii="宋体" w:hAnsi="宋体"/>
          <w:color w:val="auto"/>
          <w:spacing w:val="-3"/>
          <w:sz w:val="21"/>
          <w:szCs w:val="21"/>
          <w:highlight w:val="none"/>
        </w:rPr>
        <w:t>久</w:t>
      </w:r>
      <w:r>
        <w:rPr>
          <w:rFonts w:ascii="宋体" w:hAnsi="宋体"/>
          <w:color w:val="auto"/>
          <w:sz w:val="21"/>
          <w:szCs w:val="21"/>
          <w:highlight w:val="none"/>
        </w:rPr>
        <w:t>占</w:t>
      </w:r>
      <w:r>
        <w:rPr>
          <w:rFonts w:ascii="宋体" w:hAnsi="宋体"/>
          <w:color w:val="auto"/>
          <w:spacing w:val="-3"/>
          <w:sz w:val="21"/>
          <w:szCs w:val="21"/>
          <w:highlight w:val="none"/>
        </w:rPr>
        <w:t>地</w:t>
      </w:r>
      <w:r>
        <w:rPr>
          <w:rFonts w:ascii="宋体" w:hAnsi="宋体"/>
          <w:color w:val="auto"/>
          <w:sz w:val="21"/>
          <w:szCs w:val="21"/>
          <w:highlight w:val="none"/>
        </w:rPr>
        <w:t>：</w:t>
      </w:r>
      <w:r>
        <w:rPr>
          <w:rFonts w:hint="eastAsia" w:ascii="宋体" w:hAnsi="宋体"/>
          <w:color w:val="auto"/>
          <w:kern w:val="2"/>
          <w:sz w:val="21"/>
          <w:szCs w:val="24"/>
          <w:highlight w:val="none"/>
          <w:u w:val="single"/>
        </w:rPr>
        <w:t>项目建设所在地</w:t>
      </w:r>
      <w:r>
        <w:rPr>
          <w:rFonts w:ascii="宋体" w:hAnsi="宋体"/>
          <w:color w:val="auto"/>
          <w:sz w:val="21"/>
          <w:szCs w:val="21"/>
          <w:highlight w:val="none"/>
          <w:u w:val="single" w:color="000000"/>
        </w:rPr>
        <w:tab/>
      </w:r>
    </w:p>
    <w:p>
      <w:pPr>
        <w:adjustRightInd/>
        <w:spacing w:before="1" w:line="100" w:lineRule="exact"/>
        <w:ind w:firstLine="0" w:firstLineChars="0"/>
        <w:textAlignment w:val="auto"/>
        <w:rPr>
          <w:rFonts w:ascii="Calibri" w:hAnsi="Calibri"/>
          <w:color w:val="auto"/>
          <w:sz w:val="10"/>
          <w:szCs w:val="10"/>
          <w:highlight w:val="none"/>
        </w:rPr>
      </w:pPr>
    </w:p>
    <w:p>
      <w:pPr>
        <w:numPr>
          <w:ilvl w:val="3"/>
          <w:numId w:val="9"/>
        </w:numPr>
        <w:tabs>
          <w:tab w:val="left" w:pos="1840"/>
          <w:tab w:val="left" w:pos="8453"/>
        </w:tabs>
        <w:adjustRightInd/>
        <w:spacing w:line="240" w:lineRule="auto"/>
        <w:ind w:left="1840" w:firstLineChars="0"/>
        <w:jc w:val="both"/>
        <w:textAlignment w:val="auto"/>
        <w:rPr>
          <w:rFonts w:ascii="宋体" w:hAnsi="宋体"/>
          <w:color w:val="auto"/>
          <w:sz w:val="21"/>
          <w:szCs w:val="21"/>
          <w:highlight w:val="none"/>
          <w:lang w:eastAsia="en-US"/>
        </w:rPr>
      </w:pPr>
      <w:r>
        <w:rPr>
          <w:rFonts w:ascii="宋体" w:hAnsi="宋体"/>
          <w:color w:val="auto"/>
          <w:sz w:val="21"/>
          <w:szCs w:val="21"/>
          <w:highlight w:val="none"/>
          <w:lang w:eastAsia="en-US"/>
        </w:rPr>
        <w:t>临</w:t>
      </w:r>
      <w:r>
        <w:rPr>
          <w:rFonts w:ascii="宋体" w:hAnsi="宋体"/>
          <w:color w:val="auto"/>
          <w:spacing w:val="-3"/>
          <w:sz w:val="21"/>
          <w:szCs w:val="21"/>
          <w:highlight w:val="none"/>
          <w:lang w:eastAsia="en-US"/>
        </w:rPr>
        <w:t>时</w:t>
      </w:r>
      <w:r>
        <w:rPr>
          <w:rFonts w:ascii="宋体" w:hAnsi="宋体"/>
          <w:color w:val="auto"/>
          <w:sz w:val="21"/>
          <w:szCs w:val="21"/>
          <w:highlight w:val="none"/>
          <w:lang w:eastAsia="en-US"/>
        </w:rPr>
        <w:t>占</w:t>
      </w:r>
      <w:r>
        <w:rPr>
          <w:rFonts w:ascii="宋体" w:hAnsi="宋体"/>
          <w:color w:val="auto"/>
          <w:spacing w:val="-3"/>
          <w:sz w:val="21"/>
          <w:szCs w:val="21"/>
          <w:highlight w:val="none"/>
          <w:lang w:eastAsia="en-US"/>
        </w:rPr>
        <w:t>地</w:t>
      </w:r>
      <w:r>
        <w:rPr>
          <w:rFonts w:ascii="宋体" w:hAnsi="宋体"/>
          <w:color w:val="auto"/>
          <w:sz w:val="21"/>
          <w:szCs w:val="21"/>
          <w:highlight w:val="none"/>
          <w:lang w:eastAsia="en-US"/>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lang w:eastAsia="en-US"/>
        </w:rPr>
        <w:tab/>
      </w:r>
    </w:p>
    <w:p>
      <w:pPr>
        <w:tabs>
          <w:tab w:val="left" w:pos="1314"/>
        </w:tabs>
        <w:adjustRightInd/>
        <w:spacing w:before="98" w:line="240" w:lineRule="auto"/>
        <w:ind w:left="578"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1.1.4</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日期</w:t>
      </w:r>
    </w:p>
    <w:p>
      <w:pPr>
        <w:tabs>
          <w:tab w:val="left" w:pos="1734"/>
          <w:tab w:val="left" w:pos="4570"/>
        </w:tabs>
        <w:adjustRightInd/>
        <w:spacing w:before="98" w:line="240" w:lineRule="auto"/>
        <w:ind w:left="789"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1.1.4</w:t>
      </w:r>
      <w:r>
        <w:rPr>
          <w:rFonts w:ascii="宋体" w:hAnsi="宋体" w:cs="宋体"/>
          <w:color w:val="auto"/>
          <w:spacing w:val="-3"/>
          <w:sz w:val="21"/>
          <w:szCs w:val="21"/>
          <w:highlight w:val="none"/>
          <w:lang w:eastAsia="en-US"/>
        </w:rPr>
        <w:t>.</w:t>
      </w:r>
      <w:r>
        <w:rPr>
          <w:rFonts w:ascii="宋体" w:hAnsi="宋体" w:cs="宋体"/>
          <w:color w:val="auto"/>
          <w:sz w:val="21"/>
          <w:szCs w:val="21"/>
          <w:highlight w:val="none"/>
          <w:lang w:eastAsia="en-US"/>
        </w:rPr>
        <w:t>5</w:t>
      </w:r>
      <w:r>
        <w:rPr>
          <w:rFonts w:ascii="宋体" w:hAnsi="宋体" w:cs="宋体"/>
          <w:color w:val="auto"/>
          <w:sz w:val="21"/>
          <w:szCs w:val="21"/>
          <w:highlight w:val="none"/>
          <w:lang w:eastAsia="en-US"/>
        </w:rPr>
        <w:tab/>
      </w:r>
      <w:r>
        <w:rPr>
          <w:rFonts w:ascii="宋体" w:hAnsi="宋体"/>
          <w:color w:val="auto"/>
          <w:sz w:val="21"/>
          <w:szCs w:val="21"/>
          <w:highlight w:val="none"/>
          <w:lang w:eastAsia="en-US"/>
        </w:rPr>
        <w:t>缺</w:t>
      </w:r>
      <w:r>
        <w:rPr>
          <w:rFonts w:ascii="宋体" w:hAnsi="宋体"/>
          <w:color w:val="auto"/>
          <w:spacing w:val="-3"/>
          <w:sz w:val="21"/>
          <w:szCs w:val="21"/>
          <w:highlight w:val="none"/>
          <w:lang w:eastAsia="en-US"/>
        </w:rPr>
        <w:t>陷</w:t>
      </w:r>
      <w:r>
        <w:rPr>
          <w:rFonts w:ascii="宋体" w:hAnsi="宋体"/>
          <w:color w:val="auto"/>
          <w:sz w:val="21"/>
          <w:szCs w:val="21"/>
          <w:highlight w:val="none"/>
          <w:lang w:eastAsia="en-US"/>
        </w:rPr>
        <w:t>责</w:t>
      </w:r>
      <w:r>
        <w:rPr>
          <w:rFonts w:ascii="宋体" w:hAnsi="宋体"/>
          <w:color w:val="auto"/>
          <w:spacing w:val="-3"/>
          <w:sz w:val="21"/>
          <w:szCs w:val="21"/>
          <w:highlight w:val="none"/>
          <w:lang w:eastAsia="en-US"/>
        </w:rPr>
        <w:t>任</w:t>
      </w:r>
      <w:r>
        <w:rPr>
          <w:rFonts w:ascii="宋体" w:hAnsi="宋体"/>
          <w:color w:val="auto"/>
          <w:sz w:val="21"/>
          <w:szCs w:val="21"/>
          <w:highlight w:val="none"/>
          <w:lang w:eastAsia="en-US"/>
        </w:rPr>
        <w:t>期</w:t>
      </w:r>
      <w:r>
        <w:rPr>
          <w:rFonts w:ascii="宋体" w:hAnsi="宋体"/>
          <w:color w:val="auto"/>
          <w:spacing w:val="-3"/>
          <w:sz w:val="21"/>
          <w:szCs w:val="21"/>
          <w:highlight w:val="none"/>
          <w:lang w:eastAsia="en-US"/>
        </w:rPr>
        <w:t>期限</w:t>
      </w:r>
      <w:r>
        <w:rPr>
          <w:rFonts w:ascii="宋体" w:hAnsi="宋体"/>
          <w:color w:val="auto"/>
          <w:sz w:val="21"/>
          <w:szCs w:val="21"/>
          <w:highlight w:val="none"/>
          <w:lang w:eastAsia="en-US"/>
        </w:rPr>
        <w:t>：</w:t>
      </w:r>
      <w:r>
        <w:rPr>
          <w:rFonts w:hint="eastAsia" w:ascii="宋体" w:hAnsi="宋体"/>
          <w:color w:val="auto"/>
          <w:sz w:val="21"/>
          <w:szCs w:val="21"/>
          <w:highlight w:val="none"/>
          <w:u w:val="single" w:color="000000"/>
        </w:rPr>
        <w:t>24</w:t>
      </w:r>
      <w:r>
        <w:rPr>
          <w:rFonts w:ascii="宋体" w:hAnsi="宋体"/>
          <w:color w:val="auto"/>
          <w:sz w:val="21"/>
          <w:szCs w:val="21"/>
          <w:highlight w:val="none"/>
          <w:lang w:eastAsia="en-US"/>
        </w:rPr>
        <w:t>月。</w:t>
      </w:r>
    </w:p>
    <w:p>
      <w:pPr>
        <w:tabs>
          <w:tab w:val="left" w:pos="1314"/>
        </w:tabs>
        <w:adjustRightInd/>
        <w:spacing w:before="98" w:line="240" w:lineRule="auto"/>
        <w:ind w:left="578" w:firstLine="0" w:firstLineChars="0"/>
        <w:textAlignment w:val="auto"/>
        <w:rPr>
          <w:rFonts w:ascii="宋体" w:hAnsi="宋体"/>
          <w:color w:val="auto"/>
          <w:sz w:val="21"/>
          <w:szCs w:val="21"/>
          <w:highlight w:val="none"/>
          <w:u w:val="single"/>
        </w:rPr>
      </w:pPr>
      <w:r>
        <w:rPr>
          <w:rFonts w:ascii="宋体" w:hAnsi="宋体" w:cs="宋体"/>
          <w:color w:val="auto"/>
          <w:sz w:val="21"/>
          <w:szCs w:val="21"/>
          <w:highlight w:val="none"/>
          <w:lang w:eastAsia="en-US"/>
        </w:rPr>
        <w:t>1.1.8</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其</w:t>
      </w:r>
      <w:r>
        <w:rPr>
          <w:rFonts w:ascii="宋体" w:hAnsi="宋体"/>
          <w:color w:val="auto"/>
          <w:sz w:val="21"/>
          <w:szCs w:val="21"/>
          <w:highlight w:val="none"/>
          <w:lang w:eastAsia="en-US"/>
        </w:rPr>
        <w:t>他</w:t>
      </w:r>
      <w:r>
        <w:rPr>
          <w:rFonts w:ascii="宋体" w:hAnsi="宋体"/>
          <w:color w:val="auto"/>
          <w:spacing w:val="-3"/>
          <w:sz w:val="21"/>
          <w:szCs w:val="21"/>
          <w:highlight w:val="none"/>
          <w:lang w:eastAsia="en-US"/>
        </w:rPr>
        <w:t>需</w:t>
      </w:r>
      <w:r>
        <w:rPr>
          <w:rFonts w:ascii="宋体" w:hAnsi="宋体"/>
          <w:color w:val="auto"/>
          <w:sz w:val="21"/>
          <w:szCs w:val="21"/>
          <w:highlight w:val="none"/>
          <w:lang w:eastAsia="en-US"/>
        </w:rPr>
        <w:t>要</w:t>
      </w:r>
      <w:r>
        <w:rPr>
          <w:rFonts w:ascii="宋体" w:hAnsi="宋体"/>
          <w:color w:val="auto"/>
          <w:spacing w:val="-3"/>
          <w:sz w:val="21"/>
          <w:szCs w:val="21"/>
          <w:highlight w:val="none"/>
          <w:lang w:eastAsia="en-US"/>
        </w:rPr>
        <w:t>补</w:t>
      </w:r>
      <w:r>
        <w:rPr>
          <w:rFonts w:ascii="宋体" w:hAnsi="宋体"/>
          <w:color w:val="auto"/>
          <w:sz w:val="21"/>
          <w:szCs w:val="21"/>
          <w:highlight w:val="none"/>
          <w:lang w:eastAsia="en-US"/>
        </w:rPr>
        <w:t>充</w:t>
      </w:r>
      <w:r>
        <w:rPr>
          <w:rFonts w:ascii="宋体" w:hAnsi="宋体"/>
          <w:color w:val="auto"/>
          <w:spacing w:val="-3"/>
          <w:sz w:val="21"/>
          <w:szCs w:val="21"/>
          <w:highlight w:val="none"/>
          <w:lang w:eastAsia="en-US"/>
        </w:rPr>
        <w:t>的内</w:t>
      </w:r>
      <w:r>
        <w:rPr>
          <w:rFonts w:ascii="宋体" w:hAnsi="宋体"/>
          <w:color w:val="auto"/>
          <w:sz w:val="21"/>
          <w:szCs w:val="21"/>
          <w:highlight w:val="none"/>
          <w:lang w:eastAsia="en-US"/>
        </w:rPr>
        <w:t>容</w:t>
      </w:r>
      <w:r>
        <w:rPr>
          <w:rFonts w:hint="eastAsia" w:ascii="宋体" w:hAnsi="宋体"/>
          <w:color w:val="auto"/>
          <w:sz w:val="21"/>
          <w:szCs w:val="21"/>
          <w:highlight w:val="none"/>
          <w:u w:val="single"/>
        </w:rPr>
        <w:t xml:space="preserve"> /</w:t>
      </w:r>
    </w:p>
    <w:p>
      <w:pPr>
        <w:adjustRightInd/>
        <w:spacing w:line="200" w:lineRule="exact"/>
        <w:ind w:firstLine="0" w:firstLineChars="0"/>
        <w:textAlignment w:val="auto"/>
        <w:rPr>
          <w:rFonts w:ascii="Calibri" w:hAnsi="Calibri"/>
          <w:color w:val="auto"/>
          <w:sz w:val="20"/>
          <w:highlight w:val="none"/>
          <w:lang w:eastAsia="en-US"/>
        </w:rPr>
      </w:pPr>
    </w:p>
    <w:p>
      <w:pPr>
        <w:adjustRightInd/>
        <w:spacing w:before="19" w:line="220" w:lineRule="exact"/>
        <w:ind w:firstLine="0" w:firstLineChars="0"/>
        <w:textAlignment w:val="auto"/>
        <w:rPr>
          <w:rFonts w:ascii="Calibri" w:hAnsi="Calibri"/>
          <w:color w:val="auto"/>
          <w:sz w:val="22"/>
          <w:szCs w:val="22"/>
          <w:highlight w:val="none"/>
          <w:lang w:eastAsia="en-US"/>
        </w:rPr>
      </w:pPr>
    </w:p>
    <w:p>
      <w:pPr>
        <w:tabs>
          <w:tab w:val="left" w:pos="599"/>
        </w:tabs>
        <w:adjustRightInd/>
        <w:spacing w:line="340" w:lineRule="exact"/>
        <w:ind w:right="5550" w:firstLine="0" w:firstLineChars="0"/>
        <w:jc w:val="center"/>
        <w:textAlignment w:val="auto"/>
        <w:rPr>
          <w:rFonts w:ascii="宋体" w:hAnsi="宋体" w:cs="宋体"/>
          <w:color w:val="auto"/>
          <w:szCs w:val="24"/>
          <w:highlight w:val="none"/>
          <w:lang w:eastAsia="en-US"/>
        </w:rPr>
      </w:pPr>
      <w:bookmarkStart w:id="757" w:name="_bookmark98"/>
      <w:bookmarkEnd w:id="757"/>
      <w:r>
        <w:rPr>
          <w:rFonts w:ascii="宋体" w:hAnsi="宋体" w:cs="宋体"/>
          <w:color w:val="auto"/>
          <w:szCs w:val="24"/>
          <w:highlight w:val="none"/>
          <w:lang w:eastAsia="en-US"/>
        </w:rPr>
        <w:t>1.4</w:t>
      </w:r>
      <w:r>
        <w:rPr>
          <w:rFonts w:ascii="宋体" w:hAnsi="宋体" w:cs="宋体"/>
          <w:color w:val="auto"/>
          <w:szCs w:val="24"/>
          <w:highlight w:val="none"/>
          <w:lang w:eastAsia="en-US"/>
        </w:rPr>
        <w:tab/>
      </w:r>
      <w:r>
        <w:rPr>
          <w:rFonts w:ascii="宋体" w:hAnsi="宋体" w:cs="宋体"/>
          <w:color w:val="auto"/>
          <w:szCs w:val="24"/>
          <w:highlight w:val="none"/>
          <w:lang w:eastAsia="en-US"/>
        </w:rPr>
        <w:t>合同文件的优先顺序</w:t>
      </w:r>
    </w:p>
    <w:p>
      <w:pPr>
        <w:adjustRightInd/>
        <w:spacing w:before="3" w:line="240" w:lineRule="exact"/>
        <w:ind w:firstLine="0" w:firstLineChars="0"/>
        <w:textAlignment w:val="auto"/>
        <w:rPr>
          <w:rFonts w:ascii="Calibri" w:hAnsi="Calibri"/>
          <w:color w:val="auto"/>
          <w:szCs w:val="24"/>
          <w:highlight w:val="none"/>
          <w:lang w:eastAsia="en-US"/>
        </w:rPr>
      </w:pPr>
    </w:p>
    <w:p>
      <w:pPr>
        <w:adjustRightInd/>
        <w:spacing w:line="240" w:lineRule="auto"/>
        <w:ind w:left="640" w:firstLine="0" w:firstLineChars="0"/>
        <w:textAlignment w:val="auto"/>
        <w:rPr>
          <w:rFonts w:ascii="宋体" w:hAnsi="宋体"/>
          <w:color w:val="auto"/>
          <w:sz w:val="21"/>
          <w:szCs w:val="21"/>
          <w:highlight w:val="none"/>
        </w:rPr>
      </w:pPr>
      <w:r>
        <w:rPr>
          <w:rFonts w:ascii="宋体" w:hAnsi="宋体"/>
          <w:color w:val="auto"/>
          <w:sz w:val="21"/>
          <w:szCs w:val="21"/>
          <w:highlight w:val="none"/>
        </w:rPr>
        <w:t>合同</w:t>
      </w:r>
      <w:r>
        <w:rPr>
          <w:rFonts w:ascii="宋体" w:hAnsi="宋体"/>
          <w:color w:val="auto"/>
          <w:spacing w:val="-3"/>
          <w:sz w:val="21"/>
          <w:szCs w:val="21"/>
          <w:highlight w:val="none"/>
        </w:rPr>
        <w:t>文</w:t>
      </w:r>
      <w:r>
        <w:rPr>
          <w:rFonts w:ascii="宋体" w:hAnsi="宋体"/>
          <w:color w:val="auto"/>
          <w:sz w:val="21"/>
          <w:szCs w:val="21"/>
          <w:highlight w:val="none"/>
        </w:rPr>
        <w:t>件</w:t>
      </w:r>
      <w:r>
        <w:rPr>
          <w:rFonts w:ascii="宋体" w:hAnsi="宋体"/>
          <w:color w:val="auto"/>
          <w:spacing w:val="-3"/>
          <w:sz w:val="21"/>
          <w:szCs w:val="21"/>
          <w:highlight w:val="none"/>
        </w:rPr>
        <w:t>的</w:t>
      </w:r>
      <w:r>
        <w:rPr>
          <w:rFonts w:ascii="宋体" w:hAnsi="宋体"/>
          <w:color w:val="auto"/>
          <w:sz w:val="21"/>
          <w:szCs w:val="21"/>
          <w:highlight w:val="none"/>
        </w:rPr>
        <w:t>优</w:t>
      </w:r>
      <w:r>
        <w:rPr>
          <w:rFonts w:ascii="宋体" w:hAnsi="宋体"/>
          <w:color w:val="auto"/>
          <w:spacing w:val="-3"/>
          <w:sz w:val="21"/>
          <w:szCs w:val="21"/>
          <w:highlight w:val="none"/>
        </w:rPr>
        <w:t>先</w:t>
      </w:r>
      <w:r>
        <w:rPr>
          <w:rFonts w:ascii="宋体" w:hAnsi="宋体"/>
          <w:color w:val="auto"/>
          <w:sz w:val="21"/>
          <w:szCs w:val="21"/>
          <w:highlight w:val="none"/>
        </w:rPr>
        <w:t>解</w:t>
      </w:r>
      <w:r>
        <w:rPr>
          <w:rFonts w:ascii="宋体" w:hAnsi="宋体"/>
          <w:color w:val="auto"/>
          <w:spacing w:val="-3"/>
          <w:sz w:val="21"/>
          <w:szCs w:val="21"/>
          <w:highlight w:val="none"/>
        </w:rPr>
        <w:t>释</w:t>
      </w:r>
      <w:r>
        <w:rPr>
          <w:rFonts w:ascii="宋体" w:hAnsi="宋体"/>
          <w:color w:val="auto"/>
          <w:sz w:val="21"/>
          <w:szCs w:val="21"/>
          <w:highlight w:val="none"/>
        </w:rPr>
        <w:t>顺</w:t>
      </w:r>
      <w:r>
        <w:rPr>
          <w:rFonts w:ascii="宋体" w:hAnsi="宋体"/>
          <w:color w:val="auto"/>
          <w:spacing w:val="-3"/>
          <w:sz w:val="21"/>
          <w:szCs w:val="21"/>
          <w:highlight w:val="none"/>
        </w:rPr>
        <w:t>序</w:t>
      </w:r>
      <w:r>
        <w:rPr>
          <w:rFonts w:ascii="宋体" w:hAnsi="宋体"/>
          <w:color w:val="auto"/>
          <w:sz w:val="21"/>
          <w:szCs w:val="21"/>
          <w:highlight w:val="none"/>
        </w:rPr>
        <w:t>如下：</w:t>
      </w:r>
    </w:p>
    <w:p>
      <w:pPr>
        <w:adjustRightInd/>
        <w:spacing w:before="1" w:line="100" w:lineRule="exact"/>
        <w:ind w:firstLine="0" w:firstLineChars="0"/>
        <w:textAlignment w:val="auto"/>
        <w:rPr>
          <w:rFonts w:ascii="Calibri" w:hAnsi="Calibri"/>
          <w:color w:val="auto"/>
          <w:sz w:val="10"/>
          <w:szCs w:val="10"/>
          <w:highlight w:val="none"/>
        </w:rPr>
      </w:pPr>
    </w:p>
    <w:p>
      <w:pPr>
        <w:adjustRightInd/>
        <w:spacing w:line="240" w:lineRule="auto"/>
        <w:ind w:left="640"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协</w:t>
      </w:r>
      <w:r>
        <w:rPr>
          <w:rFonts w:ascii="宋体" w:hAnsi="宋体"/>
          <w:color w:val="auto"/>
          <w:spacing w:val="-3"/>
          <w:sz w:val="21"/>
          <w:szCs w:val="21"/>
          <w:highlight w:val="none"/>
        </w:rPr>
        <w:t>议</w:t>
      </w:r>
      <w:r>
        <w:rPr>
          <w:rFonts w:ascii="宋体" w:hAnsi="宋体"/>
          <w:color w:val="auto"/>
          <w:sz w:val="21"/>
          <w:szCs w:val="21"/>
          <w:highlight w:val="none"/>
        </w:rPr>
        <w:t>书；</w:t>
      </w:r>
    </w:p>
    <w:p>
      <w:pPr>
        <w:adjustRightInd/>
        <w:spacing w:before="98" w:line="240" w:lineRule="auto"/>
        <w:ind w:left="640"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3"/>
          <w:sz w:val="21"/>
          <w:szCs w:val="21"/>
          <w:highlight w:val="none"/>
        </w:rPr>
        <w:t>）</w:t>
      </w:r>
      <w:r>
        <w:rPr>
          <w:rFonts w:ascii="宋体" w:hAnsi="宋体"/>
          <w:color w:val="auto"/>
          <w:sz w:val="21"/>
          <w:szCs w:val="21"/>
          <w:highlight w:val="none"/>
        </w:rPr>
        <w:t>中</w:t>
      </w:r>
      <w:r>
        <w:rPr>
          <w:rFonts w:ascii="宋体" w:hAnsi="宋体"/>
          <w:color w:val="auto"/>
          <w:spacing w:val="-3"/>
          <w:sz w:val="21"/>
          <w:szCs w:val="21"/>
          <w:highlight w:val="none"/>
        </w:rPr>
        <w:t>标</w:t>
      </w:r>
      <w:r>
        <w:rPr>
          <w:rFonts w:ascii="宋体" w:hAnsi="宋体"/>
          <w:color w:val="auto"/>
          <w:sz w:val="21"/>
          <w:szCs w:val="21"/>
          <w:highlight w:val="none"/>
        </w:rPr>
        <w:t>通</w:t>
      </w:r>
      <w:r>
        <w:rPr>
          <w:rFonts w:ascii="宋体" w:hAnsi="宋体"/>
          <w:color w:val="auto"/>
          <w:spacing w:val="-3"/>
          <w:sz w:val="21"/>
          <w:szCs w:val="21"/>
          <w:highlight w:val="none"/>
        </w:rPr>
        <w:t>知</w:t>
      </w:r>
      <w:r>
        <w:rPr>
          <w:rFonts w:ascii="宋体" w:hAnsi="宋体"/>
          <w:color w:val="auto"/>
          <w:sz w:val="21"/>
          <w:szCs w:val="21"/>
          <w:highlight w:val="none"/>
        </w:rPr>
        <w:t>书；</w:t>
      </w:r>
    </w:p>
    <w:p>
      <w:pPr>
        <w:adjustRightInd/>
        <w:spacing w:before="98" w:line="240" w:lineRule="auto"/>
        <w:ind w:left="640"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3</w:t>
      </w:r>
      <w:r>
        <w:rPr>
          <w:rFonts w:ascii="宋体" w:hAnsi="宋体"/>
          <w:color w:val="auto"/>
          <w:spacing w:val="-3"/>
          <w:sz w:val="21"/>
          <w:szCs w:val="21"/>
          <w:highlight w:val="none"/>
        </w:rPr>
        <w:t>）</w:t>
      </w:r>
      <w:r>
        <w:rPr>
          <w:rFonts w:ascii="宋体" w:hAnsi="宋体"/>
          <w:color w:val="auto"/>
          <w:sz w:val="21"/>
          <w:szCs w:val="21"/>
          <w:highlight w:val="none"/>
        </w:rPr>
        <w:t>投</w:t>
      </w:r>
      <w:r>
        <w:rPr>
          <w:rFonts w:ascii="宋体" w:hAnsi="宋体"/>
          <w:color w:val="auto"/>
          <w:spacing w:val="-3"/>
          <w:sz w:val="21"/>
          <w:szCs w:val="21"/>
          <w:highlight w:val="none"/>
        </w:rPr>
        <w:t>标</w:t>
      </w:r>
      <w:r>
        <w:rPr>
          <w:rFonts w:ascii="宋体" w:hAnsi="宋体"/>
          <w:color w:val="auto"/>
          <w:sz w:val="21"/>
          <w:szCs w:val="21"/>
          <w:highlight w:val="none"/>
        </w:rPr>
        <w:t>函</w:t>
      </w:r>
      <w:r>
        <w:rPr>
          <w:rFonts w:ascii="宋体" w:hAnsi="宋体"/>
          <w:color w:val="auto"/>
          <w:spacing w:val="-3"/>
          <w:sz w:val="21"/>
          <w:szCs w:val="21"/>
          <w:highlight w:val="none"/>
        </w:rPr>
        <w:t>及</w:t>
      </w:r>
      <w:r>
        <w:rPr>
          <w:rFonts w:ascii="宋体" w:hAnsi="宋体"/>
          <w:color w:val="auto"/>
          <w:sz w:val="21"/>
          <w:szCs w:val="21"/>
          <w:highlight w:val="none"/>
        </w:rPr>
        <w:t>投</w:t>
      </w:r>
      <w:r>
        <w:rPr>
          <w:rFonts w:ascii="宋体" w:hAnsi="宋体"/>
          <w:color w:val="auto"/>
          <w:spacing w:val="-3"/>
          <w:sz w:val="21"/>
          <w:szCs w:val="21"/>
          <w:highlight w:val="none"/>
        </w:rPr>
        <w:t>标</w:t>
      </w:r>
      <w:r>
        <w:rPr>
          <w:rFonts w:ascii="宋体" w:hAnsi="宋体"/>
          <w:color w:val="auto"/>
          <w:sz w:val="21"/>
          <w:szCs w:val="21"/>
          <w:highlight w:val="none"/>
        </w:rPr>
        <w:t>函</w:t>
      </w:r>
      <w:r>
        <w:rPr>
          <w:rFonts w:ascii="宋体" w:hAnsi="宋体"/>
          <w:color w:val="auto"/>
          <w:spacing w:val="-3"/>
          <w:sz w:val="21"/>
          <w:szCs w:val="21"/>
          <w:highlight w:val="none"/>
        </w:rPr>
        <w:t>附录</w:t>
      </w:r>
      <w:r>
        <w:rPr>
          <w:rFonts w:ascii="宋体" w:hAnsi="宋体"/>
          <w:color w:val="auto"/>
          <w:sz w:val="21"/>
          <w:szCs w:val="21"/>
          <w:highlight w:val="none"/>
        </w:rPr>
        <w:t>；</w:t>
      </w:r>
    </w:p>
    <w:p>
      <w:pPr>
        <w:adjustRightInd/>
        <w:spacing w:before="98" w:line="240" w:lineRule="auto"/>
        <w:ind w:left="640"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4</w:t>
      </w:r>
      <w:r>
        <w:rPr>
          <w:rFonts w:ascii="宋体" w:hAnsi="宋体"/>
          <w:color w:val="auto"/>
          <w:spacing w:val="-3"/>
          <w:sz w:val="21"/>
          <w:szCs w:val="21"/>
          <w:highlight w:val="none"/>
        </w:rPr>
        <w:t>）</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条</w:t>
      </w:r>
      <w:r>
        <w:rPr>
          <w:rFonts w:ascii="宋体" w:hAnsi="宋体"/>
          <w:color w:val="auto"/>
          <w:spacing w:val="-3"/>
          <w:sz w:val="21"/>
          <w:szCs w:val="21"/>
          <w:highlight w:val="none"/>
        </w:rPr>
        <w:t>款</w:t>
      </w:r>
      <w:r>
        <w:rPr>
          <w:rFonts w:ascii="宋体" w:hAnsi="宋体"/>
          <w:color w:val="auto"/>
          <w:sz w:val="21"/>
          <w:szCs w:val="21"/>
          <w:highlight w:val="none"/>
        </w:rPr>
        <w:t>专</w:t>
      </w:r>
      <w:r>
        <w:rPr>
          <w:rFonts w:ascii="宋体" w:hAnsi="宋体"/>
          <w:color w:val="auto"/>
          <w:spacing w:val="-3"/>
          <w:sz w:val="21"/>
          <w:szCs w:val="21"/>
          <w:highlight w:val="none"/>
        </w:rPr>
        <w:t>用</w:t>
      </w:r>
      <w:r>
        <w:rPr>
          <w:rFonts w:ascii="宋体" w:hAnsi="宋体"/>
          <w:color w:val="auto"/>
          <w:sz w:val="21"/>
          <w:szCs w:val="21"/>
          <w:highlight w:val="none"/>
        </w:rPr>
        <w:t>部</w:t>
      </w:r>
      <w:r>
        <w:rPr>
          <w:rFonts w:ascii="宋体" w:hAnsi="宋体"/>
          <w:color w:val="auto"/>
          <w:spacing w:val="-3"/>
          <w:sz w:val="21"/>
          <w:szCs w:val="21"/>
          <w:highlight w:val="none"/>
        </w:rPr>
        <w:t>分</w:t>
      </w:r>
      <w:r>
        <w:rPr>
          <w:rFonts w:ascii="宋体" w:hAnsi="宋体"/>
          <w:color w:val="auto"/>
          <w:sz w:val="21"/>
          <w:szCs w:val="21"/>
          <w:highlight w:val="none"/>
        </w:rPr>
        <w:t>；</w:t>
      </w:r>
    </w:p>
    <w:p>
      <w:pPr>
        <w:adjustRightInd/>
        <w:spacing w:before="98" w:line="240" w:lineRule="auto"/>
        <w:ind w:left="640" w:firstLine="0" w:firstLineChars="0"/>
        <w:textAlignment w:val="auto"/>
        <w:rPr>
          <w:rFonts w:ascii="Calibri" w:hAnsi="Calibri"/>
          <w:color w:val="auto"/>
          <w:sz w:val="10"/>
          <w:szCs w:val="10"/>
          <w:highlight w:val="none"/>
        </w:rPr>
      </w:pPr>
      <w:r>
        <w:rPr>
          <w:rFonts w:ascii="宋体" w:hAnsi="宋体"/>
          <w:color w:val="auto"/>
          <w:sz w:val="21"/>
          <w:szCs w:val="21"/>
          <w:highlight w:val="none"/>
        </w:rPr>
        <w:t>（</w:t>
      </w:r>
      <w:r>
        <w:rPr>
          <w:rFonts w:ascii="宋体" w:hAnsi="宋体" w:cs="宋体"/>
          <w:color w:val="auto"/>
          <w:sz w:val="21"/>
          <w:szCs w:val="21"/>
          <w:highlight w:val="none"/>
        </w:rPr>
        <w:t>5</w:t>
      </w:r>
      <w:r>
        <w:rPr>
          <w:rFonts w:ascii="宋体" w:hAnsi="宋体"/>
          <w:color w:val="auto"/>
          <w:spacing w:val="-3"/>
          <w:sz w:val="21"/>
          <w:szCs w:val="21"/>
          <w:highlight w:val="none"/>
        </w:rPr>
        <w:t>）</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条</w:t>
      </w:r>
      <w:r>
        <w:rPr>
          <w:rFonts w:ascii="宋体" w:hAnsi="宋体"/>
          <w:color w:val="auto"/>
          <w:spacing w:val="-3"/>
          <w:sz w:val="21"/>
          <w:szCs w:val="21"/>
          <w:highlight w:val="none"/>
        </w:rPr>
        <w:t>款</w:t>
      </w:r>
      <w:r>
        <w:rPr>
          <w:rFonts w:ascii="宋体" w:hAnsi="宋体"/>
          <w:color w:val="auto"/>
          <w:sz w:val="21"/>
          <w:szCs w:val="21"/>
          <w:highlight w:val="none"/>
        </w:rPr>
        <w:t>通</w:t>
      </w:r>
      <w:r>
        <w:rPr>
          <w:rFonts w:ascii="宋体" w:hAnsi="宋体"/>
          <w:color w:val="auto"/>
          <w:spacing w:val="-3"/>
          <w:sz w:val="21"/>
          <w:szCs w:val="21"/>
          <w:highlight w:val="none"/>
        </w:rPr>
        <w:t>用</w:t>
      </w:r>
      <w:r>
        <w:rPr>
          <w:rFonts w:ascii="宋体" w:hAnsi="宋体"/>
          <w:color w:val="auto"/>
          <w:sz w:val="21"/>
          <w:szCs w:val="21"/>
          <w:highlight w:val="none"/>
        </w:rPr>
        <w:t>部</w:t>
      </w:r>
      <w:r>
        <w:rPr>
          <w:rFonts w:ascii="宋体" w:hAnsi="宋体"/>
          <w:color w:val="auto"/>
          <w:spacing w:val="-3"/>
          <w:sz w:val="21"/>
          <w:szCs w:val="21"/>
          <w:highlight w:val="none"/>
        </w:rPr>
        <w:t>分</w:t>
      </w:r>
      <w:r>
        <w:rPr>
          <w:rFonts w:ascii="宋体" w:hAnsi="宋体"/>
          <w:color w:val="auto"/>
          <w:sz w:val="21"/>
          <w:szCs w:val="21"/>
          <w:highlight w:val="none"/>
        </w:rPr>
        <w:t>；</w:t>
      </w:r>
    </w:p>
    <w:p>
      <w:pPr>
        <w:adjustRightInd/>
        <w:spacing w:line="200" w:lineRule="exact"/>
        <w:ind w:firstLine="0" w:firstLineChars="0"/>
        <w:textAlignment w:val="auto"/>
        <w:rPr>
          <w:rFonts w:ascii="Calibri" w:hAnsi="Calibri"/>
          <w:color w:val="auto"/>
          <w:sz w:val="20"/>
          <w:highlight w:val="none"/>
        </w:rPr>
      </w:pPr>
    </w:p>
    <w:p>
      <w:pPr>
        <w:adjustRightInd/>
        <w:spacing w:before="1" w:line="240" w:lineRule="auto"/>
        <w:ind w:left="600"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6</w:t>
      </w:r>
      <w:r>
        <w:rPr>
          <w:rFonts w:ascii="宋体" w:hAnsi="宋体"/>
          <w:color w:val="auto"/>
          <w:sz w:val="21"/>
          <w:szCs w:val="21"/>
          <w:highlight w:val="none"/>
        </w:rPr>
        <w:t>）</w:t>
      </w:r>
      <w:r>
        <w:rPr>
          <w:rFonts w:ascii="宋体" w:hAnsi="宋体"/>
          <w:color w:val="auto"/>
          <w:sz w:val="21"/>
          <w:szCs w:val="21"/>
          <w:highlight w:val="none"/>
          <w:u w:val="single"/>
        </w:rPr>
        <w:t>已标价工程量清单</w:t>
      </w:r>
      <w:r>
        <w:rPr>
          <w:rFonts w:hint="eastAsia" w:ascii="宋体" w:hAnsi="宋体" w:cs="Arial"/>
          <w:color w:val="auto"/>
          <w:sz w:val="21"/>
          <w:szCs w:val="21"/>
          <w:highlight w:val="none"/>
        </w:rPr>
        <w:t>；</w:t>
      </w:r>
    </w:p>
    <w:p>
      <w:pPr>
        <w:adjustRightInd/>
        <w:spacing w:before="98" w:line="240" w:lineRule="auto"/>
        <w:ind w:left="600" w:firstLine="0" w:firstLineChars="0"/>
        <w:textAlignment w:val="auto"/>
        <w:rPr>
          <w:rFonts w:ascii="宋体" w:hAnsi="宋体"/>
          <w:color w:val="auto"/>
          <w:sz w:val="21"/>
          <w:szCs w:val="21"/>
          <w:highlight w:val="none"/>
        </w:rPr>
      </w:pPr>
      <w:r>
        <w:rPr>
          <w:rFonts w:ascii="宋体" w:hAnsi="宋体"/>
          <w:color w:val="auto"/>
          <w:sz w:val="21"/>
          <w:szCs w:val="21"/>
          <w:highlight w:val="none"/>
        </w:rPr>
        <w:pict>
          <v:group id="Group 479" o:spid="_x0000_s1026" o:spt="203" style="position:absolute;left:0pt;margin-left:140.4pt;margin-top:20.65pt;height:0.1pt;width:225.65pt;mso-position-horizontal-relative:page;z-index:-251650048;mso-width-relative:page;mso-height-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HqvP8RgAwAA&#10;6AcAAA4AAAAAAAAAAAAAAAAALgIAAGRycy9lMm9Eb2MueG1sUEsBAi0AFAAGAAgAAAAhAMifHtzg&#10;AAAACQEAAA8AAAAAAAAAAAAAAAAAugUAAGRycy9kb3ducmV2LnhtbFBLBQYAAAAABAAEAPMAAADH&#10;BgAAAAA=&#10;">
            <o:lock v:ext="edit"/>
            <v:shape id="Freeform 480" o:spid="_x0000_s1027" style="position:absolute;left:2808;top:413;height:2;width:4513;" filled="f"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oUsMA&#10;AADcAAAADwAAAGRycy9kb3ducmV2LnhtbESP0YrCMBRE3xf8h3AF39bURV2tRpEFQdF90PoBl+ba&#10;ljY3pUm1/r0RBB+HmTnDLNedqcSNGldYVjAaRiCIU6sLzhRcku33DITzyBory6TgQQ7Wq97XEmNt&#10;73yi29lnIkDYxagg976OpXRpTgbd0NbEwbvaxqAPssmkbvAe4KaSP1E0lQYLDgs51vSXU1qeW6Og&#10;TE7bw3/265PyWM7SPbYYHVulBv1uswDhqfOf8Lu90wom8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hoUsMAAADcAAAADwAAAAAAAAAAAAAAAACYAgAAZHJzL2Rv&#10;d25yZXYueG1sUEsFBgAAAAAEAAQA9QAAAIgDAAAAAA==&#10;" path="m0,0l4513,0e">
              <v:path arrowok="t" o:connecttype="custom" o:connectlocs="0,0;4513,0" o:connectangles="0,0"/>
              <v:fill on="f" focussize="0,0"/>
              <v:stroke weight="0.7pt"/>
              <v:imagedata o:title=""/>
              <o:lock v:ext="edit"/>
            </v:shape>
          </v:group>
        </w:pict>
      </w:r>
      <w:r>
        <w:rPr>
          <w:rFonts w:ascii="宋体" w:hAnsi="宋体"/>
          <w:color w:val="auto"/>
          <w:sz w:val="21"/>
          <w:szCs w:val="21"/>
          <w:highlight w:val="none"/>
        </w:rPr>
        <w:t>（</w:t>
      </w:r>
      <w:r>
        <w:rPr>
          <w:rFonts w:ascii="宋体" w:hAnsi="宋体" w:cs="宋体"/>
          <w:color w:val="auto"/>
          <w:sz w:val="21"/>
          <w:szCs w:val="21"/>
          <w:highlight w:val="none"/>
        </w:rPr>
        <w:t>7</w:t>
      </w:r>
      <w:r>
        <w:rPr>
          <w:rFonts w:ascii="宋体" w:hAnsi="宋体"/>
          <w:color w:val="auto"/>
          <w:sz w:val="21"/>
          <w:szCs w:val="21"/>
          <w:highlight w:val="none"/>
        </w:rPr>
        <w:t>）</w:t>
      </w:r>
      <w:r>
        <w:rPr>
          <w:rFonts w:hint="eastAsia" w:ascii="宋体" w:hAnsi="宋体"/>
          <w:color w:val="auto"/>
          <w:sz w:val="21"/>
          <w:szCs w:val="21"/>
          <w:highlight w:val="none"/>
        </w:rPr>
        <w:t>技术标准和要求</w:t>
      </w:r>
    </w:p>
    <w:p>
      <w:pPr>
        <w:adjustRightInd/>
        <w:spacing w:before="98" w:line="240" w:lineRule="auto"/>
        <w:ind w:left="600" w:firstLine="0" w:firstLineChars="0"/>
        <w:textAlignment w:val="auto"/>
        <w:rPr>
          <w:rFonts w:ascii="宋体" w:hAnsi="宋体"/>
          <w:color w:val="auto"/>
          <w:sz w:val="21"/>
          <w:szCs w:val="21"/>
          <w:highlight w:val="none"/>
        </w:rPr>
      </w:pPr>
      <w:r>
        <w:rPr>
          <w:rFonts w:ascii="宋体" w:hAnsi="宋体"/>
          <w:color w:val="auto"/>
          <w:sz w:val="21"/>
          <w:szCs w:val="21"/>
          <w:highlight w:val="none"/>
        </w:rPr>
        <w:pict>
          <v:group id="Group 477" o:spid="_x0000_s1034" o:spt="203" style="position:absolute;left:0pt;margin-left:140.4pt;margin-top:20.65pt;height:0.1pt;width:225.65pt;mso-position-horizontal-relative:page;z-index:-251649024;mso-width-relative:page;mso-height-relative:page;" coordorigin="2808,413"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">
            <o:lock v:ext="edit"/>
            <v:shape id="Freeform 478" o:spid="_x0000_s1035" style="position:absolute;left:2808;top:413;height:2;width:4513;" filled="f"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VvcMA&#10;AADcAAAADwAAAGRycy9kb3ducmV2LnhtbESP3YrCMBSE7wXfIZwF7zRdwb9uU5EFYWX1QusDHJqz&#10;bWlzUppU69tvBMHLYWa+YZLtYBpxo85VlhV8ziIQxLnVFRcKrtl+ugbhPLLGxjIpeJCDbToeJRhr&#10;e+cz3S6+EAHCLkYFpfdtLKXLSzLoZrYlDt6f7Qz6ILtC6g7vAW4aOY+ipTRYcVgosaXvkvL60hsF&#10;dXbe/56Klc/qY73OD9hjdOyVmnwMuy8Qngb/Dr/aP1rBYjOH55lwBG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1VvcMAAADcAAAADwAAAAAAAAAAAAAAAACYAgAAZHJzL2Rv&#10;d25yZXYueG1sUEsFBgAAAAAEAAQA9QAAAIgDAAAAAA==&#10;" path="m0,0l4513,0e">
              <v:path arrowok="t" o:connecttype="custom" o:connectlocs="0,0;4513,0" o:connectangles="0,0"/>
              <v:fill on="f" focussize="0,0"/>
              <v:stroke weight="0.7pt"/>
              <v:imagedata o:title=""/>
              <o:lock v:ext="edit"/>
            </v:shape>
          </v:group>
        </w:pict>
      </w:r>
      <w:r>
        <w:rPr>
          <w:rFonts w:ascii="宋体" w:hAnsi="宋体"/>
          <w:color w:val="auto"/>
          <w:sz w:val="21"/>
          <w:szCs w:val="21"/>
          <w:highlight w:val="none"/>
        </w:rPr>
        <w:t>（</w:t>
      </w:r>
      <w:r>
        <w:rPr>
          <w:rFonts w:ascii="宋体" w:hAnsi="宋体" w:cs="宋体"/>
          <w:color w:val="auto"/>
          <w:sz w:val="21"/>
          <w:szCs w:val="21"/>
          <w:highlight w:val="none"/>
        </w:rPr>
        <w:t>8</w:t>
      </w:r>
      <w:r>
        <w:rPr>
          <w:rFonts w:ascii="宋体" w:hAnsi="宋体"/>
          <w:color w:val="auto"/>
          <w:sz w:val="21"/>
          <w:szCs w:val="21"/>
          <w:highlight w:val="none"/>
        </w:rPr>
        <w:t>）</w:t>
      </w:r>
      <w:r>
        <w:rPr>
          <w:rFonts w:hint="eastAsia" w:ascii="宋体" w:hAnsi="宋体"/>
          <w:color w:val="auto"/>
          <w:sz w:val="21"/>
          <w:szCs w:val="21"/>
          <w:highlight w:val="none"/>
        </w:rPr>
        <w:t>图纸（如有）</w:t>
      </w:r>
    </w:p>
    <w:p>
      <w:pPr>
        <w:adjustRightInd/>
        <w:spacing w:before="1" w:line="100" w:lineRule="exact"/>
        <w:ind w:firstLine="0" w:firstLineChars="0"/>
        <w:textAlignment w:val="auto"/>
        <w:rPr>
          <w:rFonts w:ascii="Calibri" w:hAnsi="Calibri"/>
          <w:color w:val="auto"/>
          <w:sz w:val="10"/>
          <w:szCs w:val="10"/>
          <w:highlight w:val="none"/>
        </w:rPr>
      </w:pPr>
    </w:p>
    <w:p>
      <w:pPr>
        <w:adjustRightInd/>
        <w:spacing w:line="240" w:lineRule="auto"/>
        <w:ind w:left="598" w:firstLine="0" w:firstLineChars="0"/>
        <w:textAlignment w:val="auto"/>
        <w:rPr>
          <w:rFonts w:ascii="宋体" w:hAnsi="宋体"/>
          <w:color w:val="auto"/>
          <w:sz w:val="21"/>
          <w:szCs w:val="21"/>
          <w:highlight w:val="none"/>
        </w:rPr>
      </w:pPr>
      <w:r>
        <w:rPr>
          <w:rFonts w:ascii="宋体" w:hAnsi="宋体"/>
          <w:color w:val="auto"/>
          <w:sz w:val="21"/>
          <w:szCs w:val="21"/>
          <w:highlight w:val="none"/>
        </w:rPr>
        <w:pict>
          <v:group id="Group 475" o:spid="_x0000_s1032" o:spt="203" style="position:absolute;left:0pt;margin-left:140.3pt;margin-top:15.75pt;height:0.1pt;width:225.65pt;mso-position-horizontal-relative:page;z-index:-251648000;mso-width-relative:page;mso-height-relative:page;" coordorigin="2806,315" coordsize="4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">
            <o:lock v:ext="edit"/>
            <v:shape id="Freeform 476" o:spid="_x0000_s1033" style="position:absolute;left:2806;top:315;height:2;width:4513;" filled="f" coordsize="4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uUcEA&#10;AADcAAAADwAAAGRycy9kb3ducmV2LnhtbERPzWrCQBC+F/oOyxS81U0F2xhdpQiC0vSQxAcYsmMS&#10;kp0N2Y2Jb+8eCj1+fP+7w2w6cafBNZYVfCwjEMSl1Q1XCq7F6T0G4Tyyxs4yKXiQg8P+9WWHibYT&#10;Z3TPfSVCCLsEFdTe94mUrqzJoFvanjhwNzsY9AEOldQDTiHcdHIVRZ/SYMOhocaejjWVbT4aBW2R&#10;nX5+qy9ftGkblxccMUpHpRZv8/cWhKfZ/4v/3GetYL0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zblHBAAAA3AAAAA8AAAAAAAAAAAAAAAAAmAIAAGRycy9kb3du&#10;cmV2LnhtbFBLBQYAAAAABAAEAPUAAACGAwAAAAA=&#10;" path="m0,0l4513,0e">
              <v:path arrowok="t" o:connecttype="custom" o:connectlocs="0,0;4513,0" o:connectangles="0,0"/>
              <v:fill on="f" focussize="0,0"/>
              <v:stroke weight="0.7pt"/>
              <v:imagedata o:title=""/>
              <o:lock v:ext="edit"/>
            </v:shape>
          </v:group>
        </w:pict>
      </w:r>
      <w:r>
        <w:rPr>
          <w:rFonts w:ascii="宋体" w:hAnsi="宋体"/>
          <w:color w:val="auto"/>
          <w:sz w:val="21"/>
          <w:szCs w:val="21"/>
          <w:highlight w:val="none"/>
        </w:rPr>
        <w:t>（</w:t>
      </w:r>
      <w:r>
        <w:rPr>
          <w:rFonts w:ascii="宋体" w:hAnsi="宋体" w:cs="宋体"/>
          <w:color w:val="auto"/>
          <w:sz w:val="21"/>
          <w:szCs w:val="21"/>
          <w:highlight w:val="none"/>
        </w:rPr>
        <w:t>9</w:t>
      </w:r>
      <w:r>
        <w:rPr>
          <w:rFonts w:ascii="宋体" w:hAnsi="宋体"/>
          <w:color w:val="auto"/>
          <w:sz w:val="21"/>
          <w:szCs w:val="21"/>
          <w:highlight w:val="none"/>
        </w:rPr>
        <w:t>）</w:t>
      </w:r>
      <w:r>
        <w:rPr>
          <w:rFonts w:hint="eastAsia" w:ascii="宋体" w:hAnsi="宋体"/>
          <w:color w:val="auto"/>
          <w:sz w:val="21"/>
          <w:szCs w:val="21"/>
          <w:highlight w:val="none"/>
        </w:rPr>
        <w:t>其他合同附件</w:t>
      </w:r>
    </w:p>
    <w:p>
      <w:pPr>
        <w:adjustRightInd/>
        <w:spacing w:before="98" w:line="316" w:lineRule="auto"/>
        <w:ind w:left="118" w:right="113" w:firstLine="479" w:firstLineChars="0"/>
        <w:textAlignment w:val="auto"/>
        <w:rPr>
          <w:rFonts w:ascii="宋体" w:hAnsi="宋体"/>
          <w:color w:val="auto"/>
          <w:sz w:val="21"/>
          <w:szCs w:val="21"/>
          <w:highlight w:val="none"/>
        </w:rPr>
      </w:pPr>
      <w:r>
        <w:rPr>
          <w:rFonts w:ascii="宋体" w:hAnsi="宋体"/>
          <w:color w:val="auto"/>
          <w:sz w:val="21"/>
          <w:szCs w:val="21"/>
          <w:highlight w:val="none"/>
        </w:rPr>
        <w:t>（说</w:t>
      </w:r>
      <w:r>
        <w:rPr>
          <w:rFonts w:ascii="宋体" w:hAnsi="宋体"/>
          <w:color w:val="auto"/>
          <w:spacing w:val="2"/>
          <w:sz w:val="21"/>
          <w:szCs w:val="21"/>
          <w:highlight w:val="none"/>
        </w:rPr>
        <w:t>明</w:t>
      </w:r>
      <w:r>
        <w:rPr>
          <w:rFonts w:ascii="宋体" w:hAnsi="宋体"/>
          <w:color w:val="auto"/>
          <w:spacing w:val="-106"/>
          <w:sz w:val="21"/>
          <w:szCs w:val="21"/>
          <w:highlight w:val="none"/>
        </w:rPr>
        <w:t>：</w:t>
      </w:r>
      <w:r>
        <w:rPr>
          <w:rFonts w:ascii="宋体" w:hAnsi="宋体"/>
          <w:color w:val="auto"/>
          <w:sz w:val="21"/>
          <w:szCs w:val="21"/>
          <w:highlight w:val="none"/>
        </w:rPr>
        <w:t>（</w:t>
      </w:r>
      <w:r>
        <w:rPr>
          <w:rFonts w:ascii="宋体" w:hAnsi="宋体" w:cs="宋体"/>
          <w:color w:val="auto"/>
          <w:spacing w:val="2"/>
          <w:sz w:val="21"/>
          <w:szCs w:val="21"/>
          <w:highlight w:val="none"/>
        </w:rPr>
        <w:t>6</w:t>
      </w:r>
      <w:r>
        <w:rPr>
          <w:rFonts w:ascii="宋体" w:hAnsi="宋体"/>
          <w:color w:val="auto"/>
          <w:spacing w:val="-106"/>
          <w:sz w:val="21"/>
          <w:szCs w:val="21"/>
          <w:highlight w:val="none"/>
        </w:rPr>
        <w:t>）、</w:t>
      </w:r>
      <w:r>
        <w:rPr>
          <w:rFonts w:ascii="宋体" w:hAnsi="宋体"/>
          <w:color w:val="auto"/>
          <w:spacing w:val="3"/>
          <w:sz w:val="21"/>
          <w:szCs w:val="21"/>
          <w:highlight w:val="none"/>
        </w:rPr>
        <w:t>（</w:t>
      </w:r>
      <w:r>
        <w:rPr>
          <w:rFonts w:ascii="宋体" w:hAnsi="宋体" w:cs="宋体"/>
          <w:color w:val="auto"/>
          <w:sz w:val="21"/>
          <w:szCs w:val="21"/>
          <w:highlight w:val="none"/>
        </w:rPr>
        <w:t>7</w:t>
      </w:r>
      <w:r>
        <w:rPr>
          <w:rFonts w:ascii="宋体" w:hAnsi="宋体"/>
          <w:color w:val="auto"/>
          <w:spacing w:val="-104"/>
          <w:sz w:val="21"/>
          <w:szCs w:val="21"/>
          <w:highlight w:val="none"/>
        </w:rPr>
        <w:t>）</w:t>
      </w:r>
      <w:r>
        <w:rPr>
          <w:rFonts w:ascii="宋体" w:hAnsi="宋体"/>
          <w:color w:val="auto"/>
          <w:spacing w:val="-106"/>
          <w:sz w:val="21"/>
          <w:szCs w:val="21"/>
          <w:highlight w:val="none"/>
        </w:rPr>
        <w:t>、</w:t>
      </w:r>
      <w:r>
        <w:rPr>
          <w:rFonts w:ascii="宋体" w:hAnsi="宋体"/>
          <w:color w:val="auto"/>
          <w:sz w:val="21"/>
          <w:szCs w:val="21"/>
          <w:highlight w:val="none"/>
        </w:rPr>
        <w:t>（</w:t>
      </w:r>
      <w:r>
        <w:rPr>
          <w:rFonts w:ascii="宋体" w:hAnsi="宋体" w:cs="宋体"/>
          <w:color w:val="auto"/>
          <w:sz w:val="21"/>
          <w:szCs w:val="21"/>
          <w:highlight w:val="none"/>
        </w:rPr>
        <w:t>8</w:t>
      </w:r>
      <w:r>
        <w:rPr>
          <w:rFonts w:ascii="宋体" w:hAnsi="宋体"/>
          <w:color w:val="auto"/>
          <w:sz w:val="21"/>
          <w:szCs w:val="21"/>
          <w:highlight w:val="none"/>
        </w:rPr>
        <w:t>）填空</w:t>
      </w:r>
      <w:r>
        <w:rPr>
          <w:rFonts w:ascii="宋体" w:hAnsi="宋体"/>
          <w:color w:val="auto"/>
          <w:spacing w:val="2"/>
          <w:sz w:val="21"/>
          <w:szCs w:val="21"/>
          <w:highlight w:val="none"/>
        </w:rPr>
        <w:t>内</w:t>
      </w:r>
      <w:r>
        <w:rPr>
          <w:rFonts w:ascii="宋体" w:hAnsi="宋体"/>
          <w:color w:val="auto"/>
          <w:sz w:val="21"/>
          <w:szCs w:val="21"/>
          <w:highlight w:val="none"/>
        </w:rPr>
        <w:t>容分别限于</w:t>
      </w:r>
      <w:r>
        <w:rPr>
          <w:rFonts w:ascii="宋体" w:hAnsi="宋体"/>
          <w:color w:val="auto"/>
          <w:spacing w:val="2"/>
          <w:sz w:val="21"/>
          <w:szCs w:val="21"/>
          <w:highlight w:val="none"/>
        </w:rPr>
        <w:t>技</w:t>
      </w:r>
      <w:r>
        <w:rPr>
          <w:rFonts w:ascii="宋体" w:hAnsi="宋体"/>
          <w:color w:val="auto"/>
          <w:sz w:val="21"/>
          <w:szCs w:val="21"/>
          <w:highlight w:val="none"/>
        </w:rPr>
        <w:t>术标准和</w:t>
      </w:r>
      <w:r>
        <w:rPr>
          <w:rFonts w:ascii="宋体" w:hAnsi="宋体"/>
          <w:color w:val="auto"/>
          <w:spacing w:val="2"/>
          <w:sz w:val="21"/>
          <w:szCs w:val="21"/>
          <w:highlight w:val="none"/>
        </w:rPr>
        <w:t>要</w:t>
      </w:r>
      <w:r>
        <w:rPr>
          <w:rFonts w:ascii="宋体" w:hAnsi="宋体"/>
          <w:color w:val="auto"/>
          <w:sz w:val="21"/>
          <w:szCs w:val="21"/>
          <w:highlight w:val="none"/>
        </w:rPr>
        <w:t>求、图纸、</w:t>
      </w:r>
      <w:r>
        <w:rPr>
          <w:rFonts w:ascii="宋体" w:hAnsi="宋体"/>
          <w:color w:val="auto"/>
          <w:spacing w:val="2"/>
          <w:sz w:val="21"/>
          <w:szCs w:val="21"/>
          <w:highlight w:val="none"/>
        </w:rPr>
        <w:t>已</w:t>
      </w:r>
      <w:r>
        <w:rPr>
          <w:rFonts w:ascii="宋体" w:hAnsi="宋体"/>
          <w:color w:val="auto"/>
          <w:sz w:val="21"/>
          <w:szCs w:val="21"/>
          <w:highlight w:val="none"/>
        </w:rPr>
        <w:t>标价工程</w:t>
      </w:r>
      <w:r>
        <w:rPr>
          <w:rFonts w:ascii="宋体" w:hAnsi="宋体"/>
          <w:color w:val="auto"/>
          <w:spacing w:val="2"/>
          <w:sz w:val="21"/>
          <w:szCs w:val="21"/>
          <w:highlight w:val="none"/>
        </w:rPr>
        <w:t>量</w:t>
      </w:r>
      <w:r>
        <w:rPr>
          <w:rFonts w:ascii="宋体" w:hAnsi="宋体"/>
          <w:color w:val="auto"/>
          <w:sz w:val="21"/>
          <w:szCs w:val="21"/>
          <w:highlight w:val="none"/>
        </w:rPr>
        <w:t>清 单三</w:t>
      </w:r>
      <w:r>
        <w:rPr>
          <w:rFonts w:ascii="宋体" w:hAnsi="宋体"/>
          <w:color w:val="auto"/>
          <w:spacing w:val="-3"/>
          <w:sz w:val="21"/>
          <w:szCs w:val="21"/>
          <w:highlight w:val="none"/>
        </w:rPr>
        <w:t>者</w:t>
      </w:r>
      <w:r>
        <w:rPr>
          <w:rFonts w:ascii="宋体" w:hAnsi="宋体"/>
          <w:color w:val="auto"/>
          <w:sz w:val="21"/>
          <w:szCs w:val="21"/>
          <w:highlight w:val="none"/>
        </w:rPr>
        <w:t>之</w:t>
      </w:r>
      <w:r>
        <w:rPr>
          <w:rFonts w:ascii="宋体" w:hAnsi="宋体"/>
          <w:color w:val="auto"/>
          <w:spacing w:val="-3"/>
          <w:sz w:val="21"/>
          <w:szCs w:val="21"/>
          <w:highlight w:val="none"/>
        </w:rPr>
        <w:t>一</w:t>
      </w:r>
      <w:r>
        <w:rPr>
          <w:rFonts w:ascii="宋体" w:hAnsi="宋体"/>
          <w:color w:val="auto"/>
          <w:spacing w:val="-106"/>
          <w:sz w:val="21"/>
          <w:szCs w:val="21"/>
          <w:highlight w:val="none"/>
        </w:rPr>
        <w:t>。</w:t>
      </w:r>
      <w:r>
        <w:rPr>
          <w:rFonts w:ascii="宋体" w:hAnsi="宋体"/>
          <w:color w:val="auto"/>
          <w:sz w:val="21"/>
          <w:szCs w:val="21"/>
          <w:highlight w:val="none"/>
        </w:rPr>
        <w:t>）</w:t>
      </w:r>
    </w:p>
    <w:p>
      <w:pPr>
        <w:adjustRightInd/>
        <w:spacing w:line="140" w:lineRule="exact"/>
        <w:ind w:firstLine="0" w:firstLineChars="0"/>
        <w:textAlignment w:val="auto"/>
        <w:rPr>
          <w:rFonts w:ascii="Calibri" w:hAnsi="Calibri"/>
          <w:color w:val="auto"/>
          <w:sz w:val="14"/>
          <w:szCs w:val="14"/>
          <w:highlight w:val="none"/>
        </w:rPr>
      </w:pPr>
    </w:p>
    <w:p>
      <w:pPr>
        <w:tabs>
          <w:tab w:val="left" w:pos="717"/>
        </w:tabs>
        <w:adjustRightInd/>
        <w:spacing w:line="240" w:lineRule="auto"/>
        <w:ind w:left="118" w:firstLine="0" w:firstLineChars="0"/>
        <w:textAlignment w:val="auto"/>
        <w:rPr>
          <w:rFonts w:ascii="宋体" w:hAnsi="宋体" w:cs="宋体"/>
          <w:color w:val="auto"/>
          <w:szCs w:val="24"/>
          <w:highlight w:val="none"/>
        </w:rPr>
      </w:pPr>
      <w:bookmarkStart w:id="758" w:name="_bookmark99"/>
      <w:bookmarkEnd w:id="758"/>
      <w:r>
        <w:rPr>
          <w:rFonts w:ascii="宋体" w:hAnsi="宋体" w:cs="宋体"/>
          <w:color w:val="auto"/>
          <w:szCs w:val="24"/>
          <w:highlight w:val="none"/>
        </w:rPr>
        <w:t>1.5</w:t>
      </w:r>
      <w:r>
        <w:rPr>
          <w:rFonts w:ascii="宋体" w:hAnsi="宋体" w:cs="宋体"/>
          <w:color w:val="auto"/>
          <w:szCs w:val="24"/>
          <w:highlight w:val="none"/>
        </w:rPr>
        <w:tab/>
      </w:r>
      <w:r>
        <w:rPr>
          <w:rFonts w:ascii="宋体" w:hAnsi="宋体" w:cs="宋体"/>
          <w:color w:val="auto"/>
          <w:szCs w:val="24"/>
          <w:highlight w:val="none"/>
        </w:rPr>
        <w:t>合同协议书</w:t>
      </w:r>
    </w:p>
    <w:p>
      <w:pPr>
        <w:adjustRightInd/>
        <w:spacing w:before="5" w:line="240" w:lineRule="exact"/>
        <w:ind w:firstLine="0" w:firstLineChars="0"/>
        <w:textAlignment w:val="auto"/>
        <w:rPr>
          <w:rFonts w:ascii="Calibri" w:hAnsi="Calibri"/>
          <w:color w:val="auto"/>
          <w:szCs w:val="24"/>
          <w:highlight w:val="none"/>
        </w:rPr>
      </w:pPr>
    </w:p>
    <w:p>
      <w:pPr>
        <w:tabs>
          <w:tab w:val="left" w:pos="8413"/>
        </w:tabs>
        <w:adjustRightInd/>
        <w:ind w:left="538" w:firstLine="0" w:firstLineChars="0"/>
        <w:textAlignment w:val="auto"/>
        <w:rPr>
          <w:rFonts w:ascii="宋体" w:hAnsi="宋体"/>
          <w:color w:val="auto"/>
          <w:sz w:val="21"/>
          <w:szCs w:val="21"/>
          <w:highlight w:val="none"/>
        </w:rPr>
      </w:pPr>
      <w:r>
        <w:rPr>
          <w:rFonts w:ascii="宋体" w:hAnsi="宋体"/>
          <w:color w:val="auto"/>
          <w:sz w:val="21"/>
          <w:szCs w:val="21"/>
          <w:highlight w:val="none"/>
        </w:rPr>
        <w:t>合同</w:t>
      </w:r>
      <w:r>
        <w:rPr>
          <w:rFonts w:ascii="宋体" w:hAnsi="宋体"/>
          <w:color w:val="auto"/>
          <w:spacing w:val="-3"/>
          <w:sz w:val="21"/>
          <w:szCs w:val="21"/>
          <w:highlight w:val="none"/>
        </w:rPr>
        <w:t>生</w:t>
      </w:r>
      <w:r>
        <w:rPr>
          <w:rFonts w:ascii="宋体" w:hAnsi="宋体"/>
          <w:color w:val="auto"/>
          <w:sz w:val="21"/>
          <w:szCs w:val="21"/>
          <w:highlight w:val="none"/>
        </w:rPr>
        <w:t>效</w:t>
      </w:r>
      <w:r>
        <w:rPr>
          <w:rFonts w:ascii="宋体" w:hAnsi="宋体"/>
          <w:color w:val="auto"/>
          <w:spacing w:val="-3"/>
          <w:sz w:val="21"/>
          <w:szCs w:val="21"/>
          <w:highlight w:val="none"/>
        </w:rPr>
        <w:t>的</w:t>
      </w:r>
      <w:r>
        <w:rPr>
          <w:rFonts w:ascii="宋体" w:hAnsi="宋体"/>
          <w:color w:val="auto"/>
          <w:sz w:val="21"/>
          <w:szCs w:val="21"/>
          <w:highlight w:val="none"/>
        </w:rPr>
        <w:t>条</w:t>
      </w:r>
      <w:r>
        <w:rPr>
          <w:rFonts w:ascii="宋体" w:hAnsi="宋体"/>
          <w:color w:val="auto"/>
          <w:spacing w:val="-3"/>
          <w:sz w:val="21"/>
          <w:szCs w:val="21"/>
          <w:highlight w:val="none"/>
        </w:rPr>
        <w:t>件</w:t>
      </w:r>
      <w:r>
        <w:rPr>
          <w:rFonts w:ascii="宋体" w:hAnsi="宋体"/>
          <w:color w:val="auto"/>
          <w:sz w:val="21"/>
          <w:szCs w:val="21"/>
          <w:highlight w:val="none"/>
        </w:rPr>
        <w:t>：</w:t>
      </w:r>
      <w:r>
        <w:rPr>
          <w:rFonts w:hint="eastAsia" w:ascii="宋体" w:hAnsi="宋体"/>
          <w:color w:val="auto"/>
          <w:sz w:val="21"/>
          <w:szCs w:val="21"/>
          <w:highlight w:val="none"/>
          <w:u w:val="single" w:color="000000"/>
        </w:rPr>
        <w:t>合同双方的法定代表人或其委托代理人在合同协议书上签字、加盖单位公章后生效。</w:t>
      </w:r>
    </w:p>
    <w:p>
      <w:pPr>
        <w:adjustRightInd/>
        <w:spacing w:before="1" w:line="220" w:lineRule="exact"/>
        <w:ind w:firstLine="0" w:firstLineChars="0"/>
        <w:textAlignment w:val="auto"/>
        <w:rPr>
          <w:rFonts w:ascii="Calibri" w:hAnsi="Calibri"/>
          <w:color w:val="auto"/>
          <w:sz w:val="22"/>
          <w:szCs w:val="22"/>
          <w:highlight w:val="none"/>
        </w:rPr>
      </w:pPr>
    </w:p>
    <w:p>
      <w:pPr>
        <w:tabs>
          <w:tab w:val="left" w:pos="599"/>
        </w:tabs>
        <w:adjustRightInd/>
        <w:spacing w:line="340" w:lineRule="exact"/>
        <w:ind w:right="5790" w:firstLine="0" w:firstLineChars="0"/>
        <w:jc w:val="center"/>
        <w:textAlignment w:val="auto"/>
        <w:rPr>
          <w:rFonts w:ascii="宋体" w:hAnsi="宋体" w:cs="宋体"/>
          <w:color w:val="auto"/>
          <w:szCs w:val="24"/>
          <w:highlight w:val="none"/>
        </w:rPr>
      </w:pPr>
      <w:bookmarkStart w:id="759" w:name="_bookmark100"/>
      <w:bookmarkEnd w:id="759"/>
      <w:r>
        <w:rPr>
          <w:rFonts w:ascii="宋体" w:hAnsi="宋体" w:cs="宋体"/>
          <w:color w:val="auto"/>
          <w:szCs w:val="24"/>
          <w:highlight w:val="none"/>
        </w:rPr>
        <w:t>1.6</w:t>
      </w:r>
      <w:r>
        <w:rPr>
          <w:rFonts w:ascii="宋体" w:hAnsi="宋体" w:cs="宋体"/>
          <w:color w:val="auto"/>
          <w:szCs w:val="24"/>
          <w:highlight w:val="none"/>
        </w:rPr>
        <w:tab/>
      </w:r>
      <w:r>
        <w:rPr>
          <w:rFonts w:ascii="宋体" w:hAnsi="宋体" w:cs="宋体"/>
          <w:color w:val="auto"/>
          <w:szCs w:val="24"/>
          <w:highlight w:val="none"/>
        </w:rPr>
        <w:t>图纸和承包人文件</w:t>
      </w:r>
    </w:p>
    <w:p>
      <w:pPr>
        <w:adjustRightInd/>
        <w:spacing w:before="6" w:line="240" w:lineRule="exact"/>
        <w:ind w:firstLine="0" w:firstLineChars="0"/>
        <w:textAlignment w:val="auto"/>
        <w:rPr>
          <w:rFonts w:ascii="Calibri" w:hAnsi="Calibri"/>
          <w:color w:val="auto"/>
          <w:szCs w:val="24"/>
          <w:highlight w:val="none"/>
        </w:rPr>
      </w:pPr>
    </w:p>
    <w:p>
      <w:pPr>
        <w:tabs>
          <w:tab w:val="left" w:pos="1274"/>
        </w:tabs>
        <w:adjustRightInd/>
        <w:spacing w:line="240" w:lineRule="auto"/>
        <w:ind w:left="53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w:t>
      </w:r>
      <w:r>
        <w:rPr>
          <w:rFonts w:ascii="宋体" w:hAnsi="宋体" w:cs="宋体"/>
          <w:color w:val="auto"/>
          <w:sz w:val="21"/>
          <w:szCs w:val="21"/>
          <w:highlight w:val="none"/>
        </w:rPr>
        <w:tab/>
      </w:r>
      <w:r>
        <w:rPr>
          <w:rFonts w:ascii="宋体" w:hAnsi="宋体"/>
          <w:color w:val="auto"/>
          <w:spacing w:val="-3"/>
          <w:sz w:val="21"/>
          <w:szCs w:val="21"/>
          <w:highlight w:val="none"/>
        </w:rPr>
        <w:t>图</w:t>
      </w:r>
      <w:r>
        <w:rPr>
          <w:rFonts w:ascii="宋体" w:hAnsi="宋体"/>
          <w:color w:val="auto"/>
          <w:sz w:val="21"/>
          <w:szCs w:val="21"/>
          <w:highlight w:val="none"/>
        </w:rPr>
        <w:t>纸</w:t>
      </w:r>
      <w:r>
        <w:rPr>
          <w:rFonts w:ascii="宋体" w:hAnsi="宋体"/>
          <w:color w:val="auto"/>
          <w:spacing w:val="-3"/>
          <w:sz w:val="21"/>
          <w:szCs w:val="21"/>
          <w:highlight w:val="none"/>
        </w:rPr>
        <w:t>的</w:t>
      </w:r>
      <w:r>
        <w:rPr>
          <w:rFonts w:ascii="宋体" w:hAnsi="宋体"/>
          <w:color w:val="auto"/>
          <w:sz w:val="21"/>
          <w:szCs w:val="21"/>
          <w:highlight w:val="none"/>
        </w:rPr>
        <w:t>提供</w:t>
      </w:r>
    </w:p>
    <w:p>
      <w:pPr>
        <w:tabs>
          <w:tab w:val="left" w:pos="8413"/>
        </w:tabs>
        <w:adjustRightInd/>
        <w:spacing w:before="98" w:line="316" w:lineRule="auto"/>
        <w:ind w:left="749" w:right="132" w:hanging="212" w:firstLineChars="0"/>
        <w:jc w:val="both"/>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5</w:t>
      </w:r>
      <w:r>
        <w:rPr>
          <w:rFonts w:ascii="宋体" w:hAnsi="宋体"/>
          <w:color w:val="auto"/>
          <w:spacing w:val="-3"/>
          <w:sz w:val="21"/>
          <w:szCs w:val="21"/>
          <w:highlight w:val="none"/>
        </w:rPr>
        <w:t>）</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供</w:t>
      </w:r>
      <w:r>
        <w:rPr>
          <w:rFonts w:ascii="宋体" w:hAnsi="宋体"/>
          <w:color w:val="auto"/>
          <w:spacing w:val="-3"/>
          <w:sz w:val="21"/>
          <w:szCs w:val="21"/>
          <w:highlight w:val="none"/>
        </w:rPr>
        <w:t>图</w:t>
      </w:r>
      <w:r>
        <w:rPr>
          <w:rFonts w:ascii="宋体" w:hAnsi="宋体"/>
          <w:color w:val="auto"/>
          <w:sz w:val="21"/>
          <w:szCs w:val="21"/>
          <w:highlight w:val="none"/>
        </w:rPr>
        <w:t>纸</w:t>
      </w:r>
      <w:r>
        <w:rPr>
          <w:rFonts w:ascii="宋体" w:hAnsi="宋体"/>
          <w:color w:val="auto"/>
          <w:spacing w:val="-3"/>
          <w:sz w:val="21"/>
          <w:szCs w:val="21"/>
          <w:highlight w:val="none"/>
        </w:rPr>
        <w:t>的期</w:t>
      </w:r>
      <w:r>
        <w:rPr>
          <w:rFonts w:ascii="宋体" w:hAnsi="宋体"/>
          <w:color w:val="auto"/>
          <w:sz w:val="21"/>
          <w:szCs w:val="21"/>
          <w:highlight w:val="none"/>
        </w:rPr>
        <w:t>限：</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color="000000"/>
        </w:rPr>
        <w:tab/>
      </w:r>
    </w:p>
    <w:p>
      <w:pPr>
        <w:tabs>
          <w:tab w:val="left" w:pos="8413"/>
        </w:tabs>
        <w:adjustRightInd/>
        <w:spacing w:before="98" w:line="316" w:lineRule="auto"/>
        <w:ind w:left="749" w:right="132" w:hanging="212" w:firstLineChars="0"/>
        <w:jc w:val="both"/>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图</w:t>
      </w:r>
      <w:r>
        <w:rPr>
          <w:rFonts w:ascii="宋体" w:hAnsi="宋体"/>
          <w:color w:val="auto"/>
          <w:spacing w:val="-3"/>
          <w:sz w:val="21"/>
          <w:szCs w:val="21"/>
          <w:highlight w:val="none"/>
        </w:rPr>
        <w:t>纸</w:t>
      </w:r>
      <w:r>
        <w:rPr>
          <w:rFonts w:ascii="宋体" w:hAnsi="宋体"/>
          <w:color w:val="auto"/>
          <w:sz w:val="21"/>
          <w:szCs w:val="21"/>
          <w:highlight w:val="none"/>
        </w:rPr>
        <w:t>的</w:t>
      </w:r>
      <w:r>
        <w:rPr>
          <w:rFonts w:ascii="宋体" w:hAnsi="宋体"/>
          <w:color w:val="auto"/>
          <w:spacing w:val="-3"/>
          <w:sz w:val="21"/>
          <w:szCs w:val="21"/>
          <w:highlight w:val="none"/>
        </w:rPr>
        <w:t>数</w:t>
      </w:r>
      <w:r>
        <w:rPr>
          <w:rFonts w:ascii="宋体" w:hAnsi="宋体"/>
          <w:color w:val="auto"/>
          <w:sz w:val="21"/>
          <w:szCs w:val="21"/>
          <w:highlight w:val="none"/>
        </w:rPr>
        <w:t>量</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color="000000"/>
        </w:rPr>
        <w:tab/>
      </w:r>
    </w:p>
    <w:p>
      <w:pPr>
        <w:tabs>
          <w:tab w:val="left" w:pos="8413"/>
        </w:tabs>
        <w:adjustRightInd/>
        <w:spacing w:before="98" w:line="316" w:lineRule="auto"/>
        <w:ind w:left="749" w:right="132" w:hanging="212" w:firstLineChars="0"/>
        <w:jc w:val="both"/>
        <w:textAlignment w:val="auto"/>
        <w:rPr>
          <w:rFonts w:ascii="宋体" w:hAnsi="宋体"/>
          <w:color w:val="auto"/>
          <w:sz w:val="21"/>
          <w:szCs w:val="21"/>
          <w:highlight w:val="none"/>
        </w:rPr>
      </w:pPr>
      <w:r>
        <w:rPr>
          <w:rFonts w:ascii="宋体" w:hAnsi="宋体"/>
          <w:color w:val="auto"/>
          <w:sz w:val="21"/>
          <w:szCs w:val="21"/>
          <w:highlight w:val="none"/>
        </w:rPr>
        <w:t>其他</w:t>
      </w:r>
      <w:r>
        <w:rPr>
          <w:rFonts w:ascii="宋体" w:hAnsi="宋体"/>
          <w:color w:val="auto"/>
          <w:spacing w:val="-3"/>
          <w:sz w:val="21"/>
          <w:szCs w:val="21"/>
          <w:highlight w:val="none"/>
        </w:rPr>
        <w:t>约</w:t>
      </w:r>
      <w:r>
        <w:rPr>
          <w:rFonts w:ascii="宋体" w:hAnsi="宋体"/>
          <w:color w:val="auto"/>
          <w:sz w:val="21"/>
          <w:szCs w:val="21"/>
          <w:highlight w:val="none"/>
        </w:rPr>
        <w:t>定</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tabs>
          <w:tab w:val="left" w:pos="1274"/>
        </w:tabs>
        <w:adjustRightInd/>
        <w:spacing w:before="31" w:line="240" w:lineRule="auto"/>
        <w:ind w:left="53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1.6.2</w:t>
      </w:r>
      <w:r>
        <w:rPr>
          <w:rFonts w:ascii="宋体" w:hAnsi="宋体" w:cs="宋体"/>
          <w:color w:val="auto"/>
          <w:sz w:val="21"/>
          <w:szCs w:val="21"/>
          <w:highlight w:val="none"/>
        </w:rPr>
        <w:tab/>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的</w:t>
      </w:r>
      <w:r>
        <w:rPr>
          <w:rFonts w:ascii="宋体" w:hAnsi="宋体"/>
          <w:color w:val="auto"/>
          <w:spacing w:val="-3"/>
          <w:sz w:val="21"/>
          <w:szCs w:val="21"/>
          <w:highlight w:val="none"/>
        </w:rPr>
        <w:t>文</w:t>
      </w:r>
      <w:r>
        <w:rPr>
          <w:rFonts w:ascii="宋体" w:hAnsi="宋体"/>
          <w:color w:val="auto"/>
          <w:sz w:val="21"/>
          <w:szCs w:val="21"/>
          <w:highlight w:val="none"/>
        </w:rPr>
        <w:t>件</w:t>
      </w:r>
    </w:p>
    <w:p>
      <w:pPr>
        <w:adjustRightInd/>
        <w:spacing w:before="1" w:line="100" w:lineRule="exact"/>
        <w:ind w:firstLine="0" w:firstLineChars="0"/>
        <w:textAlignment w:val="auto"/>
        <w:rPr>
          <w:rFonts w:ascii="Calibri" w:hAnsi="Calibri"/>
          <w:color w:val="auto"/>
          <w:sz w:val="10"/>
          <w:szCs w:val="10"/>
          <w:highlight w:val="none"/>
        </w:rPr>
      </w:pPr>
    </w:p>
    <w:p>
      <w:pPr>
        <w:tabs>
          <w:tab w:val="left" w:pos="8411"/>
        </w:tabs>
        <w:adjustRightInd/>
        <w:spacing w:line="240" w:lineRule="auto"/>
        <w:ind w:left="432"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由</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的</w:t>
      </w:r>
      <w:r>
        <w:rPr>
          <w:rFonts w:ascii="宋体" w:hAnsi="宋体"/>
          <w:color w:val="auto"/>
          <w:spacing w:val="-3"/>
          <w:sz w:val="21"/>
          <w:szCs w:val="21"/>
          <w:highlight w:val="none"/>
        </w:rPr>
        <w:t>文件</w:t>
      </w:r>
      <w:r>
        <w:rPr>
          <w:rFonts w:ascii="宋体" w:hAnsi="宋体"/>
          <w:color w:val="auto"/>
          <w:sz w:val="21"/>
          <w:szCs w:val="21"/>
          <w:highlight w:val="none"/>
        </w:rPr>
        <w:t>范围</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施工图以外的大样图、加工图、标准图等  </w:t>
      </w:r>
      <w:r>
        <w:rPr>
          <w:rFonts w:ascii="宋体" w:hAnsi="宋体"/>
          <w:color w:val="auto"/>
          <w:sz w:val="21"/>
          <w:szCs w:val="21"/>
          <w:highlight w:val="none"/>
          <w:u w:val="single" w:color="000000"/>
        </w:rPr>
        <w:tab/>
      </w:r>
    </w:p>
    <w:p>
      <w:pPr>
        <w:adjustRightInd/>
        <w:spacing w:before="3" w:line="110" w:lineRule="exact"/>
        <w:ind w:firstLine="0" w:firstLineChars="0"/>
        <w:textAlignment w:val="auto"/>
        <w:rPr>
          <w:rFonts w:ascii="Calibri" w:hAnsi="Calibri"/>
          <w:color w:val="auto"/>
          <w:sz w:val="11"/>
          <w:szCs w:val="11"/>
          <w:highlight w:val="none"/>
        </w:rPr>
      </w:pPr>
    </w:p>
    <w:p>
      <w:pPr>
        <w:adjustRightInd/>
        <w:spacing w:before="1" w:line="240" w:lineRule="auto"/>
        <w:ind w:left="538"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文</w:t>
      </w:r>
      <w:r>
        <w:rPr>
          <w:rFonts w:ascii="宋体" w:hAnsi="宋体"/>
          <w:color w:val="auto"/>
          <w:spacing w:val="-3"/>
          <w:sz w:val="21"/>
          <w:szCs w:val="21"/>
          <w:highlight w:val="none"/>
        </w:rPr>
        <w:t>件</w:t>
      </w:r>
      <w:r>
        <w:rPr>
          <w:rFonts w:ascii="宋体" w:hAnsi="宋体"/>
          <w:color w:val="auto"/>
          <w:sz w:val="21"/>
          <w:szCs w:val="21"/>
          <w:highlight w:val="none"/>
        </w:rPr>
        <w:t>的</w:t>
      </w:r>
      <w:r>
        <w:rPr>
          <w:rFonts w:ascii="宋体" w:hAnsi="宋体"/>
          <w:color w:val="auto"/>
          <w:spacing w:val="-3"/>
          <w:sz w:val="21"/>
          <w:szCs w:val="21"/>
          <w:highlight w:val="none"/>
        </w:rPr>
        <w:t>期</w:t>
      </w:r>
      <w:r>
        <w:rPr>
          <w:rFonts w:ascii="宋体" w:hAnsi="宋体"/>
          <w:color w:val="auto"/>
          <w:sz w:val="21"/>
          <w:szCs w:val="21"/>
          <w:highlight w:val="none"/>
        </w:rPr>
        <w:t>限：</w:t>
      </w:r>
      <w:r>
        <w:rPr>
          <w:rFonts w:hint="eastAsia" w:ascii="宋体" w:hAnsi="宋体"/>
          <w:color w:val="auto"/>
          <w:sz w:val="21"/>
          <w:szCs w:val="21"/>
          <w:highlight w:val="none"/>
          <w:u w:val="single"/>
        </w:rPr>
        <w:t xml:space="preserve">不少于该项工作施工前7天   </w:t>
      </w:r>
    </w:p>
    <w:p>
      <w:pPr>
        <w:adjustRightInd/>
        <w:spacing w:before="8" w:line="100" w:lineRule="exact"/>
        <w:ind w:firstLine="0" w:firstLineChars="0"/>
        <w:textAlignment w:val="auto"/>
        <w:rPr>
          <w:rFonts w:ascii="Calibri" w:hAnsi="Calibri"/>
          <w:color w:val="auto"/>
          <w:sz w:val="10"/>
          <w:szCs w:val="10"/>
          <w:highlight w:val="none"/>
        </w:rPr>
      </w:pPr>
    </w:p>
    <w:p>
      <w:pPr>
        <w:adjustRightInd/>
        <w:spacing w:before="1" w:line="240" w:lineRule="auto"/>
        <w:ind w:left="538" w:firstLine="0" w:firstLineChars="0"/>
        <w:textAlignment w:val="auto"/>
        <w:rPr>
          <w:rFonts w:ascii="宋体" w:hAnsi="宋体"/>
          <w:color w:val="auto"/>
          <w:sz w:val="21"/>
          <w:szCs w:val="21"/>
          <w:highlight w:val="none"/>
          <w:u w:val="singl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文</w:t>
      </w:r>
      <w:r>
        <w:rPr>
          <w:rFonts w:ascii="宋体" w:hAnsi="宋体"/>
          <w:color w:val="auto"/>
          <w:spacing w:val="-3"/>
          <w:sz w:val="21"/>
          <w:szCs w:val="21"/>
          <w:highlight w:val="none"/>
        </w:rPr>
        <w:t>件</w:t>
      </w:r>
      <w:r>
        <w:rPr>
          <w:rFonts w:ascii="宋体" w:hAnsi="宋体"/>
          <w:color w:val="auto"/>
          <w:sz w:val="21"/>
          <w:szCs w:val="21"/>
          <w:highlight w:val="none"/>
        </w:rPr>
        <w:t>的</w:t>
      </w:r>
      <w:r>
        <w:rPr>
          <w:rFonts w:ascii="宋体" w:hAnsi="宋体"/>
          <w:color w:val="auto"/>
          <w:spacing w:val="-3"/>
          <w:sz w:val="21"/>
          <w:szCs w:val="21"/>
          <w:highlight w:val="none"/>
        </w:rPr>
        <w:t>数</w:t>
      </w:r>
      <w:r>
        <w:rPr>
          <w:rFonts w:ascii="宋体" w:hAnsi="宋体"/>
          <w:color w:val="auto"/>
          <w:sz w:val="21"/>
          <w:szCs w:val="21"/>
          <w:highlight w:val="none"/>
        </w:rPr>
        <w:t>量：</w:t>
      </w:r>
      <w:r>
        <w:rPr>
          <w:rFonts w:hint="eastAsia" w:ascii="宋体" w:hAnsi="宋体"/>
          <w:color w:val="auto"/>
          <w:sz w:val="21"/>
          <w:szCs w:val="21"/>
          <w:highlight w:val="none"/>
          <w:u w:val="single"/>
        </w:rPr>
        <w:t xml:space="preserve">4份    </w:t>
      </w:r>
    </w:p>
    <w:p>
      <w:pPr>
        <w:adjustRightInd/>
        <w:spacing w:before="1" w:line="240" w:lineRule="auto"/>
        <w:ind w:left="538" w:firstLine="0" w:firstLineChars="0"/>
        <w:textAlignment w:val="auto"/>
        <w:rPr>
          <w:rFonts w:ascii="宋体" w:hAnsi="宋体"/>
          <w:color w:val="auto"/>
          <w:sz w:val="21"/>
          <w:szCs w:val="21"/>
          <w:highlight w:val="none"/>
        </w:rPr>
      </w:pPr>
      <w:r>
        <w:rPr>
          <w:rFonts w:ascii="宋体" w:hAnsi="宋体"/>
          <w:color w:val="auto"/>
          <w:sz w:val="21"/>
          <w:szCs w:val="21"/>
          <w:highlight w:val="none"/>
        </w:rPr>
        <w:t>监理</w:t>
      </w:r>
      <w:r>
        <w:rPr>
          <w:rFonts w:ascii="宋体" w:hAnsi="宋体"/>
          <w:color w:val="auto"/>
          <w:spacing w:val="-3"/>
          <w:sz w:val="21"/>
          <w:szCs w:val="21"/>
          <w:highlight w:val="none"/>
        </w:rPr>
        <w:t>人</w:t>
      </w:r>
      <w:r>
        <w:rPr>
          <w:rFonts w:ascii="宋体" w:hAnsi="宋体"/>
          <w:color w:val="auto"/>
          <w:sz w:val="21"/>
          <w:szCs w:val="21"/>
          <w:highlight w:val="none"/>
        </w:rPr>
        <w:t>批</w:t>
      </w:r>
      <w:r>
        <w:rPr>
          <w:rFonts w:ascii="宋体" w:hAnsi="宋体"/>
          <w:color w:val="auto"/>
          <w:spacing w:val="-3"/>
          <w:sz w:val="21"/>
          <w:szCs w:val="21"/>
          <w:highlight w:val="none"/>
        </w:rPr>
        <w:t>复</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供</w:t>
      </w:r>
      <w:r>
        <w:rPr>
          <w:rFonts w:ascii="宋体" w:hAnsi="宋体"/>
          <w:color w:val="auto"/>
          <w:spacing w:val="-3"/>
          <w:sz w:val="21"/>
          <w:szCs w:val="21"/>
          <w:highlight w:val="none"/>
        </w:rPr>
        <w:t>文</w:t>
      </w:r>
      <w:r>
        <w:rPr>
          <w:rFonts w:ascii="宋体" w:hAnsi="宋体"/>
          <w:color w:val="auto"/>
          <w:sz w:val="21"/>
          <w:szCs w:val="21"/>
          <w:highlight w:val="none"/>
        </w:rPr>
        <w:t>件的</w:t>
      </w:r>
      <w:r>
        <w:rPr>
          <w:rFonts w:ascii="宋体" w:hAnsi="宋体"/>
          <w:color w:val="auto"/>
          <w:spacing w:val="-3"/>
          <w:sz w:val="21"/>
          <w:szCs w:val="21"/>
          <w:highlight w:val="none"/>
        </w:rPr>
        <w:t>期</w:t>
      </w:r>
      <w:r>
        <w:rPr>
          <w:rFonts w:ascii="宋体" w:hAnsi="宋体"/>
          <w:color w:val="auto"/>
          <w:sz w:val="21"/>
          <w:szCs w:val="21"/>
          <w:highlight w:val="none"/>
        </w:rPr>
        <w:t>限：</w:t>
      </w:r>
      <w:r>
        <w:rPr>
          <w:rFonts w:hint="eastAsia" w:ascii="宋体" w:hAnsi="宋体"/>
          <w:color w:val="auto"/>
          <w:sz w:val="21"/>
          <w:szCs w:val="21"/>
          <w:highlight w:val="none"/>
          <w:u w:val="single"/>
        </w:rPr>
        <w:t xml:space="preserve">收到承包人提供的文件后7天内  </w:t>
      </w:r>
    </w:p>
    <w:p>
      <w:pPr>
        <w:adjustRightInd/>
        <w:spacing w:before="7" w:line="100" w:lineRule="exact"/>
        <w:ind w:firstLine="0" w:firstLineChars="0"/>
        <w:textAlignment w:val="auto"/>
        <w:rPr>
          <w:rFonts w:ascii="Calibri" w:hAnsi="Calibri"/>
          <w:color w:val="auto"/>
          <w:sz w:val="10"/>
          <w:szCs w:val="10"/>
          <w:highlight w:val="none"/>
        </w:rPr>
      </w:pPr>
    </w:p>
    <w:p>
      <w:pPr>
        <w:adjustRightInd/>
        <w:spacing w:before="1" w:line="240" w:lineRule="auto"/>
        <w:ind w:left="538" w:firstLine="0" w:firstLineChars="0"/>
        <w:textAlignment w:val="auto"/>
        <w:rPr>
          <w:rFonts w:ascii="宋体" w:hAnsi="宋体"/>
          <w:color w:val="auto"/>
          <w:sz w:val="21"/>
          <w:szCs w:val="21"/>
          <w:highlight w:val="none"/>
        </w:rPr>
      </w:pPr>
      <w:r>
        <w:rPr>
          <w:rFonts w:ascii="宋体" w:hAnsi="宋体"/>
          <w:color w:val="auto"/>
          <w:sz w:val="21"/>
          <w:szCs w:val="21"/>
          <w:highlight w:val="none"/>
        </w:rPr>
        <w:pict>
          <v:group id="Group 457" o:spid="_x0000_s1030" o:spt="203" style="position:absolute;left:0pt;margin-left:163.45pt;margin-top:15.8pt;height:0.1pt;width:341.25pt;mso-position-horizontal-relative:page;z-index:-251646976;mso-width-relative:page;mso-height-relative:page;" coordorigin="3269,316" coordsize="6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">
            <o:lock v:ext="edit"/>
            <v:shape id="Freeform 458" o:spid="_x0000_s1031" style="position:absolute;left:3269;top:316;height:2;width:6825;" filled="f" coordsize="6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TkW8QA&#10;AADcAAAADwAAAGRycy9kb3ducmV2LnhtbESPT2sCMRTE74V+h/AKvdVshVW7NUoRpOLNP+35sXlu&#10;FjcvSxJ3129vBMHjMDO/YebLwTaiIx9qxwo+RxkI4tLpmisFx8P6YwYiRGSNjWNScKUAy8XryxwL&#10;7XreUbePlUgQDgUqMDG2hZShNGQxjFxLnLyT8xZjkr6S2mOf4LaR4yybSIs1pwWDLa0Mlef9xSo4&#10;/G12fr3972d5/ru6mK+86WKr1Pvb8PMNItIQn+FHe6MV5NMx3M+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U5FvEAAAA3AAAAA8AAAAAAAAAAAAAAAAAmAIAAGRycy9k&#10;b3ducmV2LnhtbFBLBQYAAAAABAAEAPUAAACJAwAAAAA=&#10;" path="m0,0l6825,0e">
              <v:path arrowok="t" o:connecttype="custom" o:connectlocs="0,0;6825,0" o:connectangles="0,0"/>
              <v:fill on="f" focussize="0,0"/>
              <v:stroke weight="0.7pt"/>
              <v:imagedata o:title=""/>
              <o:lock v:ext="edit"/>
            </v:shape>
          </v:group>
        </w:pict>
      </w:r>
      <w:r>
        <w:rPr>
          <w:rFonts w:ascii="宋体" w:hAnsi="宋体"/>
          <w:color w:val="auto"/>
          <w:sz w:val="21"/>
          <w:szCs w:val="21"/>
          <w:highlight w:val="none"/>
        </w:rPr>
        <w:t>其他</w:t>
      </w:r>
      <w:r>
        <w:rPr>
          <w:rFonts w:ascii="宋体" w:hAnsi="宋体"/>
          <w:color w:val="auto"/>
          <w:spacing w:val="-3"/>
          <w:sz w:val="21"/>
          <w:szCs w:val="21"/>
          <w:highlight w:val="none"/>
        </w:rPr>
        <w:t>约</w:t>
      </w:r>
      <w:r>
        <w:rPr>
          <w:rFonts w:ascii="宋体" w:hAnsi="宋体"/>
          <w:color w:val="auto"/>
          <w:sz w:val="21"/>
          <w:szCs w:val="21"/>
          <w:highlight w:val="none"/>
        </w:rPr>
        <w:t>定：</w:t>
      </w:r>
      <w:r>
        <w:rPr>
          <w:rFonts w:hint="eastAsia" w:ascii="宋体" w:hAnsi="宋体"/>
          <w:color w:val="auto"/>
          <w:sz w:val="21"/>
          <w:szCs w:val="21"/>
          <w:highlight w:val="none"/>
        </w:rPr>
        <w:t>/</w:t>
      </w:r>
    </w:p>
    <w:p>
      <w:pPr>
        <w:adjustRightInd/>
        <w:spacing w:line="200" w:lineRule="exact"/>
        <w:ind w:firstLine="0" w:firstLineChars="0"/>
        <w:textAlignment w:val="auto"/>
        <w:rPr>
          <w:rFonts w:ascii="Calibri" w:hAnsi="Calibri"/>
          <w:color w:val="auto"/>
          <w:sz w:val="20"/>
          <w:highlight w:val="none"/>
        </w:rPr>
      </w:pPr>
    </w:p>
    <w:p>
      <w:pPr>
        <w:tabs>
          <w:tab w:val="left" w:pos="717"/>
        </w:tabs>
        <w:adjustRightInd/>
        <w:spacing w:line="340" w:lineRule="exact"/>
        <w:ind w:left="118" w:firstLine="0" w:firstLineChars="0"/>
        <w:textAlignment w:val="auto"/>
        <w:rPr>
          <w:rFonts w:ascii="宋体" w:hAnsi="宋体" w:cs="宋体"/>
          <w:color w:val="auto"/>
          <w:szCs w:val="24"/>
          <w:highlight w:val="none"/>
        </w:rPr>
      </w:pPr>
      <w:bookmarkStart w:id="760" w:name="_bookmark101"/>
      <w:bookmarkEnd w:id="760"/>
      <w:r>
        <w:rPr>
          <w:rFonts w:ascii="宋体" w:hAnsi="宋体" w:cs="宋体"/>
          <w:color w:val="auto"/>
          <w:szCs w:val="24"/>
          <w:highlight w:val="none"/>
        </w:rPr>
        <w:t>1.7</w:t>
      </w:r>
      <w:r>
        <w:rPr>
          <w:rFonts w:ascii="宋体" w:hAnsi="宋体" w:cs="宋体"/>
          <w:color w:val="auto"/>
          <w:szCs w:val="24"/>
          <w:highlight w:val="none"/>
        </w:rPr>
        <w:tab/>
      </w:r>
      <w:r>
        <w:rPr>
          <w:rFonts w:ascii="宋体" w:hAnsi="宋体" w:cs="宋体"/>
          <w:color w:val="auto"/>
          <w:szCs w:val="24"/>
          <w:highlight w:val="none"/>
        </w:rPr>
        <w:t>联 络</w:t>
      </w:r>
    </w:p>
    <w:p>
      <w:pPr>
        <w:adjustRightInd/>
        <w:spacing w:before="6" w:line="240" w:lineRule="exact"/>
        <w:ind w:firstLine="0" w:firstLineChars="0"/>
        <w:textAlignment w:val="auto"/>
        <w:rPr>
          <w:rFonts w:ascii="Calibri" w:hAnsi="Calibri"/>
          <w:color w:val="auto"/>
          <w:szCs w:val="24"/>
          <w:highlight w:val="none"/>
        </w:rPr>
      </w:pPr>
    </w:p>
    <w:p>
      <w:pPr>
        <w:tabs>
          <w:tab w:val="left" w:pos="1274"/>
        </w:tabs>
        <w:adjustRightInd/>
        <w:spacing w:line="240" w:lineRule="auto"/>
        <w:ind w:left="53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1.7.2</w:t>
      </w:r>
      <w:r>
        <w:rPr>
          <w:rFonts w:ascii="宋体" w:hAnsi="宋体" w:cs="宋体"/>
          <w:color w:val="auto"/>
          <w:sz w:val="21"/>
          <w:szCs w:val="21"/>
          <w:highlight w:val="none"/>
        </w:rPr>
        <w:tab/>
      </w:r>
      <w:r>
        <w:rPr>
          <w:rFonts w:ascii="宋体" w:hAnsi="宋体"/>
          <w:color w:val="auto"/>
          <w:spacing w:val="-3"/>
          <w:sz w:val="21"/>
          <w:szCs w:val="21"/>
          <w:highlight w:val="none"/>
        </w:rPr>
        <w:t>联</w:t>
      </w:r>
      <w:r>
        <w:rPr>
          <w:rFonts w:ascii="宋体" w:hAnsi="宋体"/>
          <w:color w:val="auto"/>
          <w:sz w:val="21"/>
          <w:szCs w:val="21"/>
          <w:highlight w:val="none"/>
        </w:rPr>
        <w:t>络</w:t>
      </w:r>
      <w:r>
        <w:rPr>
          <w:rFonts w:ascii="宋体" w:hAnsi="宋体"/>
          <w:color w:val="auto"/>
          <w:spacing w:val="-3"/>
          <w:sz w:val="21"/>
          <w:szCs w:val="21"/>
          <w:highlight w:val="none"/>
        </w:rPr>
        <w:t>来</w:t>
      </w:r>
      <w:r>
        <w:rPr>
          <w:rFonts w:ascii="宋体" w:hAnsi="宋体"/>
          <w:color w:val="auto"/>
          <w:sz w:val="21"/>
          <w:szCs w:val="21"/>
          <w:highlight w:val="none"/>
        </w:rPr>
        <w:t>往</w:t>
      </w:r>
      <w:r>
        <w:rPr>
          <w:rFonts w:ascii="宋体" w:hAnsi="宋体"/>
          <w:color w:val="auto"/>
          <w:spacing w:val="-3"/>
          <w:sz w:val="21"/>
          <w:szCs w:val="21"/>
          <w:highlight w:val="none"/>
        </w:rPr>
        <w:t>函</w:t>
      </w:r>
      <w:r>
        <w:rPr>
          <w:rFonts w:ascii="宋体" w:hAnsi="宋体"/>
          <w:color w:val="auto"/>
          <w:sz w:val="21"/>
          <w:szCs w:val="21"/>
          <w:highlight w:val="none"/>
        </w:rPr>
        <w:t>件</w:t>
      </w:r>
      <w:r>
        <w:rPr>
          <w:rFonts w:ascii="宋体" w:hAnsi="宋体"/>
          <w:color w:val="auto"/>
          <w:spacing w:val="-3"/>
          <w:sz w:val="21"/>
          <w:szCs w:val="21"/>
          <w:highlight w:val="none"/>
        </w:rPr>
        <w:t>的送</w:t>
      </w:r>
      <w:r>
        <w:rPr>
          <w:rFonts w:ascii="宋体" w:hAnsi="宋体"/>
          <w:color w:val="auto"/>
          <w:sz w:val="21"/>
          <w:szCs w:val="21"/>
          <w:highlight w:val="none"/>
        </w:rPr>
        <w:t>达和</w:t>
      </w:r>
      <w:r>
        <w:rPr>
          <w:rFonts w:ascii="宋体" w:hAnsi="宋体"/>
          <w:color w:val="auto"/>
          <w:spacing w:val="-3"/>
          <w:sz w:val="21"/>
          <w:szCs w:val="21"/>
          <w:highlight w:val="none"/>
        </w:rPr>
        <w:t>接</w:t>
      </w:r>
      <w:r>
        <w:rPr>
          <w:rFonts w:ascii="宋体" w:hAnsi="宋体"/>
          <w:color w:val="auto"/>
          <w:sz w:val="21"/>
          <w:szCs w:val="21"/>
          <w:highlight w:val="none"/>
        </w:rPr>
        <w:t>收</w:t>
      </w:r>
    </w:p>
    <w:p>
      <w:pPr>
        <w:tabs>
          <w:tab w:val="left" w:pos="8308"/>
        </w:tabs>
        <w:adjustRightInd/>
        <w:spacing w:before="98" w:line="316" w:lineRule="auto"/>
        <w:ind w:left="684" w:right="197" w:hanging="147"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3"/>
          <w:sz w:val="21"/>
          <w:szCs w:val="21"/>
          <w:highlight w:val="none"/>
        </w:rPr>
        <w:t>）</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指</w:t>
      </w:r>
      <w:r>
        <w:rPr>
          <w:rFonts w:ascii="宋体" w:hAnsi="宋体"/>
          <w:color w:val="auto"/>
          <w:sz w:val="21"/>
          <w:szCs w:val="21"/>
          <w:highlight w:val="none"/>
        </w:rPr>
        <w:t>定</w:t>
      </w:r>
      <w:r>
        <w:rPr>
          <w:rFonts w:ascii="宋体" w:hAnsi="宋体"/>
          <w:color w:val="auto"/>
          <w:spacing w:val="-3"/>
          <w:sz w:val="21"/>
          <w:szCs w:val="21"/>
          <w:highlight w:val="none"/>
        </w:rPr>
        <w:t>的</w:t>
      </w:r>
      <w:r>
        <w:rPr>
          <w:rFonts w:ascii="宋体" w:hAnsi="宋体"/>
          <w:color w:val="auto"/>
          <w:sz w:val="21"/>
          <w:szCs w:val="21"/>
          <w:highlight w:val="none"/>
        </w:rPr>
        <w:t>接</w:t>
      </w:r>
      <w:r>
        <w:rPr>
          <w:rFonts w:ascii="宋体" w:hAnsi="宋体"/>
          <w:color w:val="auto"/>
          <w:spacing w:val="-3"/>
          <w:sz w:val="21"/>
          <w:szCs w:val="21"/>
          <w:highlight w:val="none"/>
        </w:rPr>
        <w:t>收地</w:t>
      </w:r>
      <w:r>
        <w:rPr>
          <w:rFonts w:ascii="宋体" w:hAnsi="宋体"/>
          <w:color w:val="auto"/>
          <w:sz w:val="21"/>
          <w:szCs w:val="21"/>
          <w:highlight w:val="none"/>
        </w:rPr>
        <w:t>点：</w:t>
      </w:r>
      <w:r>
        <w:rPr>
          <w:rFonts w:hint="eastAsia" w:ascii="宋体" w:hAnsi="宋体"/>
          <w:color w:val="auto"/>
          <w:kern w:val="2"/>
          <w:sz w:val="21"/>
          <w:szCs w:val="24"/>
          <w:highlight w:val="none"/>
          <w:u w:val="single"/>
        </w:rPr>
        <w:t>另行约定</w:t>
      </w:r>
      <w:r>
        <w:rPr>
          <w:rFonts w:ascii="宋体" w:hAnsi="宋体"/>
          <w:color w:val="auto"/>
          <w:sz w:val="21"/>
          <w:szCs w:val="21"/>
          <w:highlight w:val="none"/>
          <w:u w:val="single" w:color="000000"/>
        </w:rPr>
        <w:tab/>
      </w:r>
    </w:p>
    <w:p>
      <w:pPr>
        <w:tabs>
          <w:tab w:val="left" w:pos="8308"/>
        </w:tabs>
        <w:adjustRightInd/>
        <w:spacing w:before="98" w:line="316" w:lineRule="auto"/>
        <w:ind w:left="684" w:right="197" w:hanging="147"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指</w:t>
      </w:r>
      <w:r>
        <w:rPr>
          <w:rFonts w:ascii="宋体" w:hAnsi="宋体"/>
          <w:color w:val="auto"/>
          <w:spacing w:val="-3"/>
          <w:sz w:val="21"/>
          <w:szCs w:val="21"/>
          <w:highlight w:val="none"/>
        </w:rPr>
        <w:t>定</w:t>
      </w:r>
      <w:r>
        <w:rPr>
          <w:rFonts w:ascii="宋体" w:hAnsi="宋体"/>
          <w:color w:val="auto"/>
          <w:sz w:val="21"/>
          <w:szCs w:val="21"/>
          <w:highlight w:val="none"/>
        </w:rPr>
        <w:t>的</w:t>
      </w:r>
      <w:r>
        <w:rPr>
          <w:rFonts w:ascii="宋体" w:hAnsi="宋体"/>
          <w:color w:val="auto"/>
          <w:spacing w:val="-3"/>
          <w:sz w:val="21"/>
          <w:szCs w:val="21"/>
          <w:highlight w:val="none"/>
        </w:rPr>
        <w:t>接</w:t>
      </w:r>
      <w:r>
        <w:rPr>
          <w:rFonts w:ascii="宋体" w:hAnsi="宋体"/>
          <w:color w:val="auto"/>
          <w:sz w:val="21"/>
          <w:szCs w:val="21"/>
          <w:highlight w:val="none"/>
        </w:rPr>
        <w:t>收</w:t>
      </w:r>
      <w:r>
        <w:rPr>
          <w:rFonts w:ascii="宋体" w:hAnsi="宋体"/>
          <w:color w:val="auto"/>
          <w:spacing w:val="-3"/>
          <w:sz w:val="21"/>
          <w:szCs w:val="21"/>
          <w:highlight w:val="none"/>
        </w:rPr>
        <w:t>人</w:t>
      </w:r>
      <w:r>
        <w:rPr>
          <w:rFonts w:ascii="宋体" w:hAnsi="宋体"/>
          <w:color w:val="auto"/>
          <w:sz w:val="21"/>
          <w:szCs w:val="21"/>
          <w:highlight w:val="none"/>
        </w:rPr>
        <w:t>为</w:t>
      </w:r>
      <w:r>
        <w:rPr>
          <w:rFonts w:ascii="宋体" w:hAnsi="宋体"/>
          <w:color w:val="auto"/>
          <w:spacing w:val="-3"/>
          <w:sz w:val="21"/>
          <w:szCs w:val="21"/>
          <w:highlight w:val="none"/>
        </w:rPr>
        <w:t>：</w:t>
      </w:r>
      <w:r>
        <w:rPr>
          <w:rFonts w:hint="eastAsia" w:ascii="宋体" w:hAnsi="宋体"/>
          <w:color w:val="auto"/>
          <w:kern w:val="2"/>
          <w:sz w:val="21"/>
          <w:szCs w:val="24"/>
          <w:highlight w:val="none"/>
          <w:u w:val="single"/>
        </w:rPr>
        <w:t>另行约定</w:t>
      </w:r>
      <w:r>
        <w:rPr>
          <w:rFonts w:ascii="宋体" w:hAnsi="宋体"/>
          <w:color w:val="auto"/>
          <w:sz w:val="21"/>
          <w:szCs w:val="21"/>
          <w:highlight w:val="none"/>
          <w:u w:val="single" w:color="000000"/>
        </w:rPr>
        <w:tab/>
      </w:r>
    </w:p>
    <w:p>
      <w:pPr>
        <w:tabs>
          <w:tab w:val="left" w:pos="8308"/>
        </w:tabs>
        <w:adjustRightInd/>
        <w:spacing w:before="31" w:line="316" w:lineRule="auto"/>
        <w:ind w:left="684" w:right="197" w:hanging="147" w:firstLineChars="0"/>
        <w:textAlignment w:val="auto"/>
        <w:rPr>
          <w:rFonts w:ascii="宋体" w:hAnsi="宋体"/>
          <w:color w:val="auto"/>
          <w:sz w:val="21"/>
          <w:szCs w:val="21"/>
          <w:highlight w:val="none"/>
        </w:rPr>
      </w:pPr>
      <w:r>
        <w:rPr>
          <w:rFonts w:ascii="宋体" w:hAnsi="宋体" w:cs="宋体"/>
          <w:color w:val="auto"/>
          <w:sz w:val="21"/>
          <w:szCs w:val="21"/>
          <w:highlight w:val="none"/>
        </w:rPr>
        <w:t>（</w:t>
      </w:r>
      <w:r>
        <w:rPr>
          <w:rFonts w:ascii="宋体" w:hAnsi="宋体"/>
          <w:color w:val="auto"/>
          <w:spacing w:val="-3"/>
          <w:sz w:val="21"/>
          <w:szCs w:val="21"/>
          <w:highlight w:val="none"/>
        </w:rPr>
        <w:t>3</w:t>
      </w:r>
      <w:r>
        <w:rPr>
          <w:rFonts w:ascii="宋体" w:hAnsi="宋体"/>
          <w:color w:val="auto"/>
          <w:sz w:val="21"/>
          <w:szCs w:val="21"/>
          <w:highlight w:val="none"/>
        </w:rPr>
        <w:t>）监</w:t>
      </w:r>
      <w:r>
        <w:rPr>
          <w:rFonts w:ascii="宋体" w:hAnsi="宋体"/>
          <w:color w:val="auto"/>
          <w:spacing w:val="-3"/>
          <w:sz w:val="21"/>
          <w:szCs w:val="21"/>
          <w:highlight w:val="none"/>
        </w:rPr>
        <w:t>理</w:t>
      </w:r>
      <w:r>
        <w:rPr>
          <w:rFonts w:ascii="宋体" w:hAnsi="宋体"/>
          <w:color w:val="auto"/>
          <w:sz w:val="21"/>
          <w:szCs w:val="21"/>
          <w:highlight w:val="none"/>
        </w:rPr>
        <w:t>人</w:t>
      </w:r>
      <w:r>
        <w:rPr>
          <w:rFonts w:ascii="宋体" w:hAnsi="宋体"/>
          <w:color w:val="auto"/>
          <w:spacing w:val="-3"/>
          <w:sz w:val="21"/>
          <w:szCs w:val="21"/>
          <w:highlight w:val="none"/>
        </w:rPr>
        <w:t>指</w:t>
      </w:r>
      <w:r>
        <w:rPr>
          <w:rFonts w:ascii="宋体" w:hAnsi="宋体"/>
          <w:color w:val="auto"/>
          <w:sz w:val="21"/>
          <w:szCs w:val="21"/>
          <w:highlight w:val="none"/>
        </w:rPr>
        <w:t>定</w:t>
      </w:r>
      <w:r>
        <w:rPr>
          <w:rFonts w:ascii="宋体" w:hAnsi="宋体"/>
          <w:color w:val="auto"/>
          <w:spacing w:val="-3"/>
          <w:sz w:val="21"/>
          <w:szCs w:val="21"/>
          <w:highlight w:val="none"/>
        </w:rPr>
        <w:t>的</w:t>
      </w:r>
      <w:r>
        <w:rPr>
          <w:rFonts w:ascii="宋体" w:hAnsi="宋体"/>
          <w:color w:val="auto"/>
          <w:sz w:val="21"/>
          <w:szCs w:val="21"/>
          <w:highlight w:val="none"/>
        </w:rPr>
        <w:t>接</w:t>
      </w:r>
      <w:r>
        <w:rPr>
          <w:rFonts w:ascii="宋体" w:hAnsi="宋体"/>
          <w:color w:val="auto"/>
          <w:spacing w:val="-3"/>
          <w:sz w:val="21"/>
          <w:szCs w:val="21"/>
          <w:highlight w:val="none"/>
        </w:rPr>
        <w:t>收地</w:t>
      </w:r>
      <w:r>
        <w:rPr>
          <w:rFonts w:ascii="宋体" w:hAnsi="宋体"/>
          <w:color w:val="auto"/>
          <w:sz w:val="21"/>
          <w:szCs w:val="21"/>
          <w:highlight w:val="none"/>
        </w:rPr>
        <w:t>点：</w:t>
      </w:r>
      <w:r>
        <w:rPr>
          <w:rFonts w:hint="eastAsia" w:ascii="宋体" w:hAnsi="宋体"/>
          <w:color w:val="auto"/>
          <w:kern w:val="2"/>
          <w:sz w:val="21"/>
          <w:szCs w:val="24"/>
          <w:highlight w:val="none"/>
          <w:u w:val="single"/>
        </w:rPr>
        <w:t>另行约定</w:t>
      </w:r>
      <w:r>
        <w:rPr>
          <w:rFonts w:ascii="宋体" w:hAnsi="宋体"/>
          <w:color w:val="auto"/>
          <w:sz w:val="21"/>
          <w:szCs w:val="21"/>
          <w:highlight w:val="none"/>
          <w:u w:val="single" w:color="000000"/>
        </w:rPr>
        <w:tab/>
      </w:r>
    </w:p>
    <w:p>
      <w:pPr>
        <w:tabs>
          <w:tab w:val="left" w:pos="8308"/>
        </w:tabs>
        <w:adjustRightInd/>
        <w:spacing w:before="31" w:line="316" w:lineRule="auto"/>
        <w:ind w:left="684" w:right="197" w:hanging="147" w:firstLineChars="0"/>
        <w:textAlignment w:val="auto"/>
        <w:rPr>
          <w:rFonts w:ascii="宋体" w:hAnsi="宋体"/>
          <w:color w:val="auto"/>
          <w:sz w:val="21"/>
          <w:szCs w:val="21"/>
          <w:highlight w:val="none"/>
        </w:rPr>
      </w:pPr>
      <w:r>
        <w:rPr>
          <w:rFonts w:ascii="宋体" w:hAnsi="宋体"/>
          <w:color w:val="auto"/>
          <w:sz w:val="21"/>
          <w:szCs w:val="21"/>
          <w:highlight w:val="none"/>
        </w:rPr>
        <w:t>监理</w:t>
      </w:r>
      <w:r>
        <w:rPr>
          <w:rFonts w:ascii="宋体" w:hAnsi="宋体"/>
          <w:color w:val="auto"/>
          <w:spacing w:val="-3"/>
          <w:sz w:val="21"/>
          <w:szCs w:val="21"/>
          <w:highlight w:val="none"/>
        </w:rPr>
        <w:t>人</w:t>
      </w:r>
      <w:r>
        <w:rPr>
          <w:rFonts w:ascii="宋体" w:hAnsi="宋体"/>
          <w:color w:val="auto"/>
          <w:sz w:val="21"/>
          <w:szCs w:val="21"/>
          <w:highlight w:val="none"/>
        </w:rPr>
        <w:t>指</w:t>
      </w:r>
      <w:r>
        <w:rPr>
          <w:rFonts w:ascii="宋体" w:hAnsi="宋体"/>
          <w:color w:val="auto"/>
          <w:spacing w:val="-3"/>
          <w:sz w:val="21"/>
          <w:szCs w:val="21"/>
          <w:highlight w:val="none"/>
        </w:rPr>
        <w:t>定</w:t>
      </w:r>
      <w:r>
        <w:rPr>
          <w:rFonts w:ascii="宋体" w:hAnsi="宋体"/>
          <w:color w:val="auto"/>
          <w:sz w:val="21"/>
          <w:szCs w:val="21"/>
          <w:highlight w:val="none"/>
        </w:rPr>
        <w:t>的</w:t>
      </w:r>
      <w:r>
        <w:rPr>
          <w:rFonts w:ascii="宋体" w:hAnsi="宋体"/>
          <w:color w:val="auto"/>
          <w:spacing w:val="-3"/>
          <w:sz w:val="21"/>
          <w:szCs w:val="21"/>
          <w:highlight w:val="none"/>
        </w:rPr>
        <w:t>接</w:t>
      </w:r>
      <w:r>
        <w:rPr>
          <w:rFonts w:ascii="宋体" w:hAnsi="宋体"/>
          <w:color w:val="auto"/>
          <w:sz w:val="21"/>
          <w:szCs w:val="21"/>
          <w:highlight w:val="none"/>
        </w:rPr>
        <w:t>收</w:t>
      </w:r>
      <w:r>
        <w:rPr>
          <w:rFonts w:ascii="宋体" w:hAnsi="宋体"/>
          <w:color w:val="auto"/>
          <w:spacing w:val="-3"/>
          <w:sz w:val="21"/>
          <w:szCs w:val="21"/>
          <w:highlight w:val="none"/>
        </w:rPr>
        <w:t>人</w:t>
      </w:r>
      <w:r>
        <w:rPr>
          <w:rFonts w:ascii="宋体" w:hAnsi="宋体"/>
          <w:color w:val="auto"/>
          <w:sz w:val="21"/>
          <w:szCs w:val="21"/>
          <w:highlight w:val="none"/>
        </w:rPr>
        <w:t>为</w:t>
      </w:r>
      <w:r>
        <w:rPr>
          <w:rFonts w:ascii="宋体" w:hAnsi="宋体"/>
          <w:color w:val="auto"/>
          <w:spacing w:val="-3"/>
          <w:sz w:val="21"/>
          <w:szCs w:val="21"/>
          <w:highlight w:val="none"/>
        </w:rPr>
        <w:t>：</w:t>
      </w:r>
      <w:r>
        <w:rPr>
          <w:rFonts w:hint="eastAsia" w:ascii="宋体" w:hAnsi="宋体"/>
          <w:color w:val="auto"/>
          <w:kern w:val="2"/>
          <w:sz w:val="21"/>
          <w:szCs w:val="24"/>
          <w:highlight w:val="none"/>
          <w:u w:val="single"/>
        </w:rPr>
        <w:t>另行约定</w:t>
      </w:r>
      <w:r>
        <w:rPr>
          <w:rFonts w:ascii="宋体" w:hAnsi="宋体"/>
          <w:color w:val="auto"/>
          <w:sz w:val="21"/>
          <w:szCs w:val="21"/>
          <w:highlight w:val="none"/>
          <w:u w:val="single" w:color="000000"/>
        </w:rPr>
        <w:tab/>
      </w:r>
    </w:p>
    <w:p>
      <w:pPr>
        <w:tabs>
          <w:tab w:val="left" w:pos="8308"/>
        </w:tabs>
        <w:adjustRightInd/>
        <w:spacing w:before="34" w:line="240" w:lineRule="auto"/>
        <w:ind w:left="53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4</w:t>
      </w:r>
      <w:r>
        <w:rPr>
          <w:rFonts w:ascii="宋体" w:hAnsi="宋体"/>
          <w:color w:val="auto"/>
          <w:spacing w:val="-3"/>
          <w:sz w:val="21"/>
          <w:szCs w:val="21"/>
          <w:highlight w:val="none"/>
        </w:rPr>
        <w:t>）</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指</w:t>
      </w:r>
      <w:r>
        <w:rPr>
          <w:rFonts w:ascii="宋体" w:hAnsi="宋体"/>
          <w:color w:val="auto"/>
          <w:sz w:val="21"/>
          <w:szCs w:val="21"/>
          <w:highlight w:val="none"/>
        </w:rPr>
        <w:t>定</w:t>
      </w:r>
      <w:r>
        <w:rPr>
          <w:rFonts w:ascii="宋体" w:hAnsi="宋体"/>
          <w:color w:val="auto"/>
          <w:spacing w:val="-3"/>
          <w:sz w:val="21"/>
          <w:szCs w:val="21"/>
          <w:highlight w:val="none"/>
        </w:rPr>
        <w:t>的</w:t>
      </w:r>
      <w:r>
        <w:rPr>
          <w:rFonts w:ascii="宋体" w:hAnsi="宋体"/>
          <w:color w:val="auto"/>
          <w:sz w:val="21"/>
          <w:szCs w:val="21"/>
          <w:highlight w:val="none"/>
        </w:rPr>
        <w:t>接</w:t>
      </w:r>
      <w:r>
        <w:rPr>
          <w:rFonts w:ascii="宋体" w:hAnsi="宋体"/>
          <w:color w:val="auto"/>
          <w:spacing w:val="-3"/>
          <w:sz w:val="21"/>
          <w:szCs w:val="21"/>
          <w:highlight w:val="none"/>
        </w:rPr>
        <w:t>收地</w:t>
      </w:r>
      <w:r>
        <w:rPr>
          <w:rFonts w:ascii="宋体" w:hAnsi="宋体"/>
          <w:color w:val="auto"/>
          <w:sz w:val="21"/>
          <w:szCs w:val="21"/>
          <w:highlight w:val="none"/>
        </w:rPr>
        <w:t>点：</w:t>
      </w:r>
      <w:r>
        <w:rPr>
          <w:rFonts w:hint="eastAsia" w:ascii="宋体" w:hAnsi="宋体"/>
          <w:color w:val="auto"/>
          <w:kern w:val="2"/>
          <w:sz w:val="21"/>
          <w:szCs w:val="24"/>
          <w:highlight w:val="none"/>
          <w:u w:val="single"/>
        </w:rPr>
        <w:t>另行约定</w:t>
      </w:r>
      <w:r>
        <w:rPr>
          <w:rFonts w:ascii="宋体" w:hAnsi="宋体"/>
          <w:color w:val="auto"/>
          <w:sz w:val="21"/>
          <w:szCs w:val="21"/>
          <w:highlight w:val="none"/>
          <w:u w:val="single" w:color="000000"/>
        </w:rPr>
        <w:tab/>
      </w:r>
    </w:p>
    <w:p>
      <w:pPr>
        <w:adjustRightInd/>
        <w:spacing w:before="1" w:line="240" w:lineRule="exact"/>
        <w:ind w:firstLine="0" w:firstLineChars="0"/>
        <w:textAlignment w:val="auto"/>
        <w:rPr>
          <w:rFonts w:ascii="Calibri" w:hAnsi="Calibri"/>
          <w:color w:val="auto"/>
          <w:szCs w:val="24"/>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61" w:name="_bookmark102"/>
      <w:bookmarkEnd w:id="761"/>
      <w:r>
        <w:rPr>
          <w:rFonts w:ascii="宋体" w:hAnsi="宋体" w:cs="宋体"/>
          <w:color w:val="auto"/>
          <w:spacing w:val="1"/>
          <w:sz w:val="28"/>
          <w:szCs w:val="28"/>
          <w:highlight w:val="none"/>
        </w:rPr>
        <w:t>2</w:t>
      </w:r>
      <w:r>
        <w:rPr>
          <w:rFonts w:ascii="宋体" w:hAnsi="宋体" w:cs="宋体"/>
          <w:color w:val="auto"/>
          <w:spacing w:val="-2"/>
          <w:sz w:val="28"/>
          <w:szCs w:val="28"/>
          <w:highlight w:val="none"/>
        </w:rPr>
        <w:t>.</w:t>
      </w:r>
      <w:r>
        <w:rPr>
          <w:rFonts w:ascii="宋体" w:hAnsi="宋体" w:cs="宋体"/>
          <w:color w:val="auto"/>
          <w:sz w:val="28"/>
          <w:szCs w:val="28"/>
          <w:highlight w:val="none"/>
        </w:rPr>
        <w:t>发包</w:t>
      </w:r>
      <w:r>
        <w:rPr>
          <w:rFonts w:ascii="宋体" w:hAnsi="宋体" w:cs="宋体"/>
          <w:color w:val="auto"/>
          <w:spacing w:val="-3"/>
          <w:sz w:val="28"/>
          <w:szCs w:val="28"/>
          <w:highlight w:val="none"/>
        </w:rPr>
        <w:t>人</w:t>
      </w:r>
      <w:r>
        <w:rPr>
          <w:rFonts w:ascii="宋体" w:hAnsi="宋体" w:cs="宋体"/>
          <w:color w:val="auto"/>
          <w:sz w:val="28"/>
          <w:szCs w:val="28"/>
          <w:highlight w:val="none"/>
        </w:rPr>
        <w:t>义务</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62" w:name="_bookmark103"/>
      <w:bookmarkEnd w:id="762"/>
      <w:r>
        <w:rPr>
          <w:rFonts w:ascii="宋体" w:hAnsi="宋体" w:cs="宋体"/>
          <w:color w:val="auto"/>
          <w:szCs w:val="24"/>
          <w:highlight w:val="none"/>
        </w:rPr>
        <w:t>2.3</w:t>
      </w:r>
      <w:r>
        <w:rPr>
          <w:rFonts w:ascii="宋体" w:hAnsi="宋体" w:cs="宋体"/>
          <w:color w:val="auto"/>
          <w:szCs w:val="24"/>
          <w:highlight w:val="none"/>
        </w:rPr>
        <w:tab/>
      </w:r>
      <w:r>
        <w:rPr>
          <w:rFonts w:ascii="宋体" w:hAnsi="宋体" w:cs="宋体"/>
          <w:color w:val="auto"/>
          <w:szCs w:val="24"/>
          <w:highlight w:val="none"/>
        </w:rPr>
        <w:t>提供施工场地</w:t>
      </w:r>
    </w:p>
    <w:p>
      <w:pPr>
        <w:adjustRightInd/>
        <w:spacing w:before="3" w:line="240" w:lineRule="exact"/>
        <w:ind w:firstLine="0" w:firstLineChars="0"/>
        <w:textAlignment w:val="auto"/>
        <w:rPr>
          <w:rFonts w:ascii="Calibri" w:hAnsi="Calibri"/>
          <w:color w:val="auto"/>
          <w:szCs w:val="24"/>
          <w:highlight w:val="none"/>
        </w:rPr>
      </w:pPr>
    </w:p>
    <w:p>
      <w:pPr>
        <w:tabs>
          <w:tab w:val="left" w:pos="3098"/>
        </w:tabs>
        <w:adjustRightInd/>
        <w:spacing w:line="318" w:lineRule="auto"/>
        <w:ind w:left="158" w:right="151" w:firstLine="419"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移</w:t>
      </w:r>
      <w:r>
        <w:rPr>
          <w:rFonts w:ascii="宋体" w:hAnsi="宋体"/>
          <w:color w:val="auto"/>
          <w:spacing w:val="-3"/>
          <w:sz w:val="21"/>
          <w:szCs w:val="21"/>
          <w:highlight w:val="none"/>
        </w:rPr>
        <w:t>交</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场</w:t>
      </w:r>
      <w:r>
        <w:rPr>
          <w:rFonts w:ascii="宋体" w:hAnsi="宋体"/>
          <w:color w:val="auto"/>
          <w:spacing w:val="-3"/>
          <w:sz w:val="21"/>
          <w:szCs w:val="21"/>
          <w:highlight w:val="none"/>
        </w:rPr>
        <w:t>地</w:t>
      </w:r>
      <w:r>
        <w:rPr>
          <w:rFonts w:ascii="宋体" w:hAnsi="宋体"/>
          <w:color w:val="auto"/>
          <w:sz w:val="21"/>
          <w:szCs w:val="21"/>
          <w:highlight w:val="none"/>
        </w:rPr>
        <w:t>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46"/>
          <w:sz w:val="21"/>
          <w:szCs w:val="21"/>
          <w:highlight w:val="none"/>
        </w:rPr>
        <w:t>：</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应</w:t>
      </w:r>
      <w:r>
        <w:rPr>
          <w:rFonts w:ascii="宋体" w:hAnsi="宋体"/>
          <w:color w:val="auto"/>
          <w:sz w:val="21"/>
          <w:szCs w:val="21"/>
          <w:highlight w:val="none"/>
        </w:rPr>
        <w:t>当</w:t>
      </w:r>
      <w:r>
        <w:rPr>
          <w:rFonts w:ascii="宋体" w:hAnsi="宋体"/>
          <w:color w:val="auto"/>
          <w:spacing w:val="-3"/>
          <w:sz w:val="21"/>
          <w:szCs w:val="21"/>
          <w:highlight w:val="none"/>
        </w:rPr>
        <w:t>将</w:t>
      </w:r>
      <w:r>
        <w:rPr>
          <w:rFonts w:ascii="宋体" w:hAnsi="宋体"/>
          <w:color w:val="auto"/>
          <w:sz w:val="21"/>
          <w:szCs w:val="21"/>
          <w:highlight w:val="none"/>
        </w:rPr>
        <w:t>具</w:t>
      </w:r>
      <w:r>
        <w:rPr>
          <w:rFonts w:ascii="宋体" w:hAnsi="宋体"/>
          <w:color w:val="auto"/>
          <w:spacing w:val="-3"/>
          <w:sz w:val="21"/>
          <w:szCs w:val="21"/>
          <w:highlight w:val="none"/>
        </w:rPr>
        <w:t>备施</w:t>
      </w:r>
      <w:r>
        <w:rPr>
          <w:rFonts w:ascii="宋体" w:hAnsi="宋体"/>
          <w:color w:val="auto"/>
          <w:sz w:val="21"/>
          <w:szCs w:val="21"/>
          <w:highlight w:val="none"/>
        </w:rPr>
        <w:t>工条</w:t>
      </w:r>
      <w:r>
        <w:rPr>
          <w:rFonts w:ascii="宋体" w:hAnsi="宋体"/>
          <w:color w:val="auto"/>
          <w:spacing w:val="-3"/>
          <w:sz w:val="21"/>
          <w:szCs w:val="21"/>
          <w:highlight w:val="none"/>
        </w:rPr>
        <w:t>件</w:t>
      </w:r>
      <w:r>
        <w:rPr>
          <w:rFonts w:ascii="宋体" w:hAnsi="宋体"/>
          <w:color w:val="auto"/>
          <w:sz w:val="21"/>
          <w:szCs w:val="21"/>
          <w:highlight w:val="none"/>
        </w:rPr>
        <w:t>的</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场地</w:t>
      </w:r>
      <w:r>
        <w:rPr>
          <w:rFonts w:ascii="宋体" w:hAnsi="宋体"/>
          <w:color w:val="auto"/>
          <w:spacing w:val="-44"/>
          <w:sz w:val="21"/>
          <w:szCs w:val="21"/>
          <w:highlight w:val="none"/>
        </w:rPr>
        <w:t>，</w:t>
      </w:r>
      <w:r>
        <w:rPr>
          <w:rFonts w:ascii="宋体" w:hAnsi="宋体"/>
          <w:color w:val="auto"/>
          <w:spacing w:val="-3"/>
          <w:sz w:val="21"/>
          <w:szCs w:val="21"/>
          <w:highlight w:val="none"/>
        </w:rPr>
        <w:t>在监</w:t>
      </w:r>
      <w:r>
        <w:rPr>
          <w:rFonts w:ascii="宋体" w:hAnsi="宋体"/>
          <w:color w:val="auto"/>
          <w:sz w:val="21"/>
          <w:szCs w:val="21"/>
          <w:highlight w:val="none"/>
        </w:rPr>
        <w:t>理人</w:t>
      </w:r>
      <w:r>
        <w:rPr>
          <w:rFonts w:ascii="宋体" w:hAnsi="宋体"/>
          <w:color w:val="auto"/>
          <w:spacing w:val="-3"/>
          <w:sz w:val="21"/>
          <w:szCs w:val="21"/>
          <w:highlight w:val="none"/>
        </w:rPr>
        <w:t>发</w:t>
      </w:r>
      <w:r>
        <w:rPr>
          <w:rFonts w:ascii="宋体" w:hAnsi="宋体"/>
          <w:color w:val="auto"/>
          <w:sz w:val="21"/>
          <w:szCs w:val="21"/>
          <w:highlight w:val="none"/>
        </w:rPr>
        <w:t>出开 工通</w:t>
      </w:r>
      <w:r>
        <w:rPr>
          <w:rFonts w:ascii="宋体" w:hAnsi="宋体"/>
          <w:color w:val="auto"/>
          <w:spacing w:val="-3"/>
          <w:sz w:val="21"/>
          <w:szCs w:val="21"/>
          <w:highlight w:val="none"/>
        </w:rPr>
        <w:t>知</w:t>
      </w:r>
      <w:r>
        <w:rPr>
          <w:rFonts w:ascii="宋体" w:hAnsi="宋体"/>
          <w:color w:val="auto"/>
          <w:sz w:val="21"/>
          <w:szCs w:val="21"/>
          <w:highlight w:val="none"/>
        </w:rPr>
        <w:t>中</w:t>
      </w:r>
      <w:r>
        <w:rPr>
          <w:rFonts w:ascii="宋体" w:hAnsi="宋体"/>
          <w:color w:val="auto"/>
          <w:spacing w:val="-3"/>
          <w:sz w:val="21"/>
          <w:szCs w:val="21"/>
          <w:highlight w:val="none"/>
        </w:rPr>
        <w:t>载</w:t>
      </w:r>
      <w:r>
        <w:rPr>
          <w:rFonts w:ascii="宋体" w:hAnsi="宋体"/>
          <w:color w:val="auto"/>
          <w:sz w:val="21"/>
          <w:szCs w:val="21"/>
          <w:highlight w:val="none"/>
        </w:rPr>
        <w:t>明</w:t>
      </w:r>
      <w:r>
        <w:rPr>
          <w:rFonts w:ascii="宋体" w:hAnsi="宋体"/>
          <w:color w:val="auto"/>
          <w:spacing w:val="-3"/>
          <w:sz w:val="21"/>
          <w:szCs w:val="21"/>
          <w:highlight w:val="none"/>
        </w:rPr>
        <w:t>的</w:t>
      </w:r>
      <w:r>
        <w:rPr>
          <w:rFonts w:ascii="宋体" w:hAnsi="宋体"/>
          <w:color w:val="auto"/>
          <w:sz w:val="21"/>
          <w:szCs w:val="21"/>
          <w:highlight w:val="none"/>
        </w:rPr>
        <w:t>开</w:t>
      </w:r>
      <w:r>
        <w:rPr>
          <w:rFonts w:ascii="宋体" w:hAnsi="宋体"/>
          <w:color w:val="auto"/>
          <w:spacing w:val="-3"/>
          <w:sz w:val="21"/>
          <w:szCs w:val="21"/>
          <w:highlight w:val="none"/>
        </w:rPr>
        <w:t>工</w:t>
      </w:r>
      <w:r>
        <w:rPr>
          <w:rFonts w:ascii="宋体" w:hAnsi="宋体"/>
          <w:color w:val="auto"/>
          <w:sz w:val="21"/>
          <w:szCs w:val="21"/>
          <w:highlight w:val="none"/>
        </w:rPr>
        <w:t>日</w:t>
      </w:r>
      <w:r>
        <w:rPr>
          <w:rFonts w:ascii="宋体" w:hAnsi="宋体"/>
          <w:color w:val="auto"/>
          <w:spacing w:val="-3"/>
          <w:sz w:val="21"/>
          <w:szCs w:val="21"/>
          <w:highlight w:val="none"/>
        </w:rPr>
        <w:t>期</w:t>
      </w:r>
      <w:r>
        <w:rPr>
          <w:rFonts w:hint="eastAsia" w:ascii="宋体" w:hAnsi="宋体"/>
          <w:color w:val="auto"/>
          <w:spacing w:val="-3"/>
          <w:sz w:val="21"/>
          <w:szCs w:val="21"/>
          <w:highlight w:val="none"/>
          <w:u w:val="single" w:color="000000"/>
        </w:rPr>
        <w:t>7</w:t>
      </w:r>
      <w:r>
        <w:rPr>
          <w:rFonts w:ascii="宋体" w:hAnsi="宋体"/>
          <w:color w:val="auto"/>
          <w:sz w:val="21"/>
          <w:szCs w:val="21"/>
          <w:highlight w:val="none"/>
        </w:rPr>
        <w:t>天</w:t>
      </w:r>
      <w:r>
        <w:rPr>
          <w:rFonts w:ascii="宋体" w:hAnsi="宋体"/>
          <w:color w:val="auto"/>
          <w:spacing w:val="-3"/>
          <w:sz w:val="21"/>
          <w:szCs w:val="21"/>
          <w:highlight w:val="none"/>
        </w:rPr>
        <w:t>前</w:t>
      </w:r>
      <w:r>
        <w:rPr>
          <w:rFonts w:ascii="宋体" w:hAnsi="宋体"/>
          <w:color w:val="auto"/>
          <w:sz w:val="21"/>
          <w:szCs w:val="21"/>
          <w:highlight w:val="none"/>
        </w:rPr>
        <w:t>移</w:t>
      </w:r>
      <w:r>
        <w:rPr>
          <w:rFonts w:ascii="宋体" w:hAnsi="宋体"/>
          <w:color w:val="auto"/>
          <w:spacing w:val="-3"/>
          <w:sz w:val="21"/>
          <w:szCs w:val="21"/>
          <w:highlight w:val="none"/>
        </w:rPr>
        <w:t>交</w:t>
      </w:r>
      <w:r>
        <w:rPr>
          <w:rFonts w:ascii="宋体" w:hAnsi="宋体"/>
          <w:color w:val="auto"/>
          <w:sz w:val="21"/>
          <w:szCs w:val="21"/>
          <w:highlight w:val="none"/>
        </w:rPr>
        <w:t>给</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w:t>
      </w:r>
    </w:p>
    <w:p>
      <w:pPr>
        <w:adjustRightInd/>
        <w:spacing w:before="3" w:line="150" w:lineRule="exact"/>
        <w:ind w:firstLine="0" w:firstLineChars="0"/>
        <w:textAlignment w:val="auto"/>
        <w:rPr>
          <w:rFonts w:ascii="Calibri" w:hAnsi="Calibri"/>
          <w:color w:val="auto"/>
          <w:sz w:val="15"/>
          <w:szCs w:val="15"/>
          <w:highlight w:val="none"/>
        </w:rPr>
      </w:pPr>
    </w:p>
    <w:p>
      <w:pPr>
        <w:tabs>
          <w:tab w:val="left" w:pos="757"/>
        </w:tabs>
        <w:adjustRightInd/>
        <w:spacing w:line="340" w:lineRule="exact"/>
        <w:ind w:left="158" w:firstLine="0" w:firstLineChars="0"/>
        <w:textAlignment w:val="auto"/>
        <w:rPr>
          <w:rFonts w:ascii="宋体" w:hAnsi="宋体" w:cs="宋体"/>
          <w:color w:val="auto"/>
          <w:szCs w:val="24"/>
          <w:highlight w:val="none"/>
        </w:rPr>
      </w:pPr>
      <w:bookmarkStart w:id="763" w:name="_bookmark104"/>
      <w:bookmarkEnd w:id="763"/>
      <w:r>
        <w:rPr>
          <w:rFonts w:ascii="宋体" w:hAnsi="宋体" w:cs="宋体"/>
          <w:color w:val="auto"/>
          <w:szCs w:val="24"/>
          <w:highlight w:val="none"/>
        </w:rPr>
        <w:t>2.8</w:t>
      </w:r>
      <w:r>
        <w:rPr>
          <w:rFonts w:ascii="宋体" w:hAnsi="宋体" w:cs="宋体"/>
          <w:color w:val="auto"/>
          <w:szCs w:val="24"/>
          <w:highlight w:val="none"/>
        </w:rPr>
        <w:tab/>
      </w:r>
      <w:r>
        <w:rPr>
          <w:rFonts w:ascii="宋体" w:hAnsi="宋体" w:cs="宋体"/>
          <w:color w:val="auto"/>
          <w:szCs w:val="24"/>
          <w:highlight w:val="none"/>
        </w:rPr>
        <w:t>向承包人提交支付担保</w:t>
      </w:r>
    </w:p>
    <w:p>
      <w:pPr>
        <w:adjustRightInd/>
        <w:spacing w:before="3" w:line="240" w:lineRule="exact"/>
        <w:ind w:firstLine="0" w:firstLineChars="0"/>
        <w:textAlignment w:val="auto"/>
        <w:rPr>
          <w:rFonts w:ascii="Calibri" w:hAnsi="Calibri"/>
          <w:color w:val="auto"/>
          <w:szCs w:val="24"/>
          <w:highlight w:val="none"/>
        </w:rPr>
      </w:pPr>
    </w:p>
    <w:p>
      <w:pPr>
        <w:tabs>
          <w:tab w:val="left" w:pos="8470"/>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向</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提交</w:t>
      </w:r>
      <w:r>
        <w:rPr>
          <w:rFonts w:ascii="宋体" w:hAnsi="宋体"/>
          <w:color w:val="auto"/>
          <w:sz w:val="21"/>
          <w:szCs w:val="21"/>
          <w:highlight w:val="none"/>
        </w:rPr>
        <w:t>支付</w:t>
      </w:r>
      <w:r>
        <w:rPr>
          <w:rFonts w:ascii="宋体" w:hAnsi="宋体"/>
          <w:color w:val="auto"/>
          <w:spacing w:val="-3"/>
          <w:sz w:val="21"/>
          <w:szCs w:val="21"/>
          <w:highlight w:val="none"/>
        </w:rPr>
        <w:t>担</w:t>
      </w:r>
      <w:r>
        <w:rPr>
          <w:rFonts w:ascii="宋体" w:hAnsi="宋体"/>
          <w:color w:val="auto"/>
          <w:sz w:val="21"/>
          <w:szCs w:val="21"/>
          <w:highlight w:val="none"/>
        </w:rPr>
        <w:t>保</w:t>
      </w:r>
      <w:r>
        <w:rPr>
          <w:rFonts w:ascii="宋体" w:hAnsi="宋体"/>
          <w:color w:val="auto"/>
          <w:spacing w:val="-3"/>
          <w:sz w:val="21"/>
          <w:szCs w:val="21"/>
          <w:highlight w:val="none"/>
        </w:rPr>
        <w:t>的</w:t>
      </w:r>
      <w:r>
        <w:rPr>
          <w:rFonts w:ascii="宋体" w:hAnsi="宋体"/>
          <w:color w:val="auto"/>
          <w:sz w:val="21"/>
          <w:szCs w:val="21"/>
          <w:highlight w:val="none"/>
        </w:rPr>
        <w:t>金</w:t>
      </w:r>
      <w:r>
        <w:rPr>
          <w:rFonts w:ascii="宋体" w:hAnsi="宋体"/>
          <w:color w:val="auto"/>
          <w:spacing w:val="-3"/>
          <w:sz w:val="21"/>
          <w:szCs w:val="21"/>
          <w:highlight w:val="none"/>
        </w:rPr>
        <w:t>额</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3"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64" w:name="_bookmark105"/>
      <w:bookmarkEnd w:id="764"/>
      <w:r>
        <w:rPr>
          <w:rFonts w:ascii="宋体" w:hAnsi="宋体" w:cs="宋体"/>
          <w:color w:val="auto"/>
          <w:szCs w:val="24"/>
          <w:highlight w:val="none"/>
        </w:rPr>
        <w:t>2.13</w:t>
      </w:r>
      <w:r>
        <w:rPr>
          <w:rFonts w:ascii="宋体" w:hAnsi="宋体" w:cs="宋体"/>
          <w:color w:val="auto"/>
          <w:szCs w:val="24"/>
          <w:highlight w:val="none"/>
        </w:rPr>
        <w:tab/>
      </w:r>
      <w:r>
        <w:rPr>
          <w:rFonts w:ascii="宋体" w:hAnsi="宋体" w:cs="宋体"/>
          <w:color w:val="auto"/>
          <w:szCs w:val="24"/>
          <w:highlight w:val="none"/>
        </w:rPr>
        <w:t>其他义务</w:t>
      </w:r>
    </w:p>
    <w:p>
      <w:pPr>
        <w:adjustRightInd/>
        <w:spacing w:before="3" w:line="240" w:lineRule="exact"/>
        <w:ind w:firstLine="0" w:firstLineChars="0"/>
        <w:textAlignment w:val="auto"/>
        <w:rPr>
          <w:rFonts w:ascii="Calibri" w:hAnsi="Calibri"/>
          <w:color w:val="auto"/>
          <w:szCs w:val="24"/>
          <w:highlight w:val="none"/>
        </w:rPr>
      </w:pPr>
    </w:p>
    <w:p>
      <w:pPr>
        <w:tabs>
          <w:tab w:val="left" w:pos="8453"/>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应</w:t>
      </w:r>
      <w:r>
        <w:rPr>
          <w:rFonts w:ascii="宋体" w:hAnsi="宋体"/>
          <w:color w:val="auto"/>
          <w:spacing w:val="-3"/>
          <w:sz w:val="21"/>
          <w:szCs w:val="21"/>
          <w:highlight w:val="none"/>
        </w:rPr>
        <w:t>当</w:t>
      </w:r>
      <w:r>
        <w:rPr>
          <w:rFonts w:ascii="宋体" w:hAnsi="宋体"/>
          <w:color w:val="auto"/>
          <w:sz w:val="21"/>
          <w:szCs w:val="21"/>
          <w:highlight w:val="none"/>
        </w:rPr>
        <w:t>履</w:t>
      </w:r>
      <w:r>
        <w:rPr>
          <w:rFonts w:ascii="宋体" w:hAnsi="宋体"/>
          <w:color w:val="auto"/>
          <w:spacing w:val="-3"/>
          <w:sz w:val="21"/>
          <w:szCs w:val="21"/>
          <w:highlight w:val="none"/>
        </w:rPr>
        <w:t>行</w:t>
      </w:r>
      <w:r>
        <w:rPr>
          <w:rFonts w:ascii="宋体" w:hAnsi="宋体"/>
          <w:color w:val="auto"/>
          <w:sz w:val="21"/>
          <w:szCs w:val="21"/>
          <w:highlight w:val="none"/>
        </w:rPr>
        <w:t>的</w:t>
      </w:r>
      <w:r>
        <w:rPr>
          <w:rFonts w:ascii="宋体" w:hAnsi="宋体"/>
          <w:color w:val="auto"/>
          <w:spacing w:val="-3"/>
          <w:sz w:val="21"/>
          <w:szCs w:val="21"/>
          <w:highlight w:val="none"/>
        </w:rPr>
        <w:t>其</w:t>
      </w:r>
      <w:r>
        <w:rPr>
          <w:rFonts w:ascii="宋体" w:hAnsi="宋体"/>
          <w:color w:val="auto"/>
          <w:sz w:val="21"/>
          <w:szCs w:val="21"/>
          <w:highlight w:val="none"/>
        </w:rPr>
        <w:t>他</w:t>
      </w:r>
      <w:r>
        <w:rPr>
          <w:rFonts w:ascii="宋体" w:hAnsi="宋体"/>
          <w:color w:val="auto"/>
          <w:spacing w:val="-3"/>
          <w:sz w:val="21"/>
          <w:szCs w:val="21"/>
          <w:highlight w:val="none"/>
        </w:rPr>
        <w:t>义</w:t>
      </w:r>
      <w:r>
        <w:rPr>
          <w:rFonts w:ascii="宋体" w:hAnsi="宋体"/>
          <w:color w:val="auto"/>
          <w:sz w:val="21"/>
          <w:szCs w:val="21"/>
          <w:highlight w:val="none"/>
        </w:rPr>
        <w:t>务：</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line="200" w:lineRule="exact"/>
        <w:ind w:firstLine="0" w:firstLineChars="0"/>
        <w:textAlignment w:val="auto"/>
        <w:rPr>
          <w:rFonts w:ascii="Calibri" w:hAnsi="Calibri"/>
          <w:color w:val="auto"/>
          <w:sz w:val="20"/>
          <w:highlight w:val="none"/>
        </w:rPr>
      </w:pPr>
    </w:p>
    <w:p>
      <w:pPr>
        <w:adjustRightInd/>
        <w:spacing w:before="15" w:line="220" w:lineRule="exact"/>
        <w:ind w:firstLine="0" w:firstLineChars="0"/>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65" w:name="_bookmark106"/>
      <w:bookmarkEnd w:id="765"/>
      <w:r>
        <w:rPr>
          <w:rFonts w:ascii="宋体" w:hAnsi="宋体" w:cs="宋体"/>
          <w:color w:val="auto"/>
          <w:spacing w:val="1"/>
          <w:sz w:val="28"/>
          <w:szCs w:val="28"/>
          <w:highlight w:val="none"/>
        </w:rPr>
        <w:t>3</w:t>
      </w:r>
      <w:r>
        <w:rPr>
          <w:rFonts w:ascii="宋体" w:hAnsi="宋体" w:cs="宋体"/>
          <w:color w:val="auto"/>
          <w:spacing w:val="-2"/>
          <w:sz w:val="28"/>
          <w:szCs w:val="28"/>
          <w:highlight w:val="none"/>
        </w:rPr>
        <w:t>.</w:t>
      </w:r>
      <w:r>
        <w:rPr>
          <w:rFonts w:ascii="宋体" w:hAnsi="宋体" w:cs="宋体"/>
          <w:color w:val="auto"/>
          <w:sz w:val="28"/>
          <w:szCs w:val="28"/>
          <w:highlight w:val="none"/>
        </w:rPr>
        <w:t>监理人</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66" w:name="_bookmark107"/>
      <w:bookmarkEnd w:id="766"/>
      <w:r>
        <w:rPr>
          <w:rFonts w:ascii="宋体" w:hAnsi="宋体" w:cs="宋体"/>
          <w:color w:val="auto"/>
          <w:szCs w:val="24"/>
          <w:highlight w:val="none"/>
        </w:rPr>
        <w:t>3.1</w:t>
      </w:r>
      <w:r>
        <w:rPr>
          <w:rFonts w:ascii="宋体" w:hAnsi="宋体" w:cs="宋体"/>
          <w:color w:val="auto"/>
          <w:szCs w:val="24"/>
          <w:highlight w:val="none"/>
        </w:rPr>
        <w:tab/>
      </w:r>
      <w:r>
        <w:rPr>
          <w:rFonts w:ascii="宋体" w:hAnsi="宋体" w:cs="宋体"/>
          <w:color w:val="auto"/>
          <w:szCs w:val="24"/>
          <w:highlight w:val="none"/>
        </w:rPr>
        <w:t>监理人的职责和权力</w:t>
      </w:r>
    </w:p>
    <w:p>
      <w:pPr>
        <w:adjustRightInd/>
        <w:spacing w:before="3" w:line="240" w:lineRule="exact"/>
        <w:ind w:firstLine="0" w:firstLineChars="0"/>
        <w:textAlignment w:val="auto"/>
        <w:rPr>
          <w:rFonts w:ascii="Calibri" w:hAnsi="Calibri"/>
          <w:color w:val="auto"/>
          <w:szCs w:val="24"/>
          <w:highlight w:val="none"/>
        </w:rPr>
      </w:pPr>
    </w:p>
    <w:p>
      <w:pPr>
        <w:tabs>
          <w:tab w:val="left" w:pos="1314"/>
          <w:tab w:val="left" w:pos="8453"/>
        </w:tabs>
        <w:adjustRightInd/>
        <w:ind w:left="578" w:firstLine="0" w:firstLineChars="0"/>
        <w:textAlignment w:val="auto"/>
        <w:rPr>
          <w:rFonts w:ascii="宋体" w:hAnsi="宋体"/>
          <w:color w:val="auto"/>
          <w:sz w:val="21"/>
          <w:szCs w:val="21"/>
          <w:highlight w:val="none"/>
          <w:u w:val="single"/>
        </w:rPr>
      </w:pPr>
      <w:r>
        <w:rPr>
          <w:rFonts w:ascii="宋体" w:hAnsi="宋体" w:cs="宋体"/>
          <w:color w:val="auto"/>
          <w:sz w:val="21"/>
          <w:szCs w:val="21"/>
          <w:highlight w:val="none"/>
        </w:rPr>
        <w:t>3.1.1</w:t>
      </w:r>
      <w:r>
        <w:rPr>
          <w:rFonts w:ascii="宋体" w:hAnsi="宋体" w:cs="宋体"/>
          <w:color w:val="auto"/>
          <w:sz w:val="21"/>
          <w:szCs w:val="21"/>
          <w:highlight w:val="none"/>
        </w:rPr>
        <w:tab/>
      </w:r>
      <w:r>
        <w:rPr>
          <w:rFonts w:ascii="宋体" w:hAnsi="宋体"/>
          <w:color w:val="auto"/>
          <w:spacing w:val="-3"/>
          <w:sz w:val="21"/>
          <w:szCs w:val="21"/>
          <w:highlight w:val="none"/>
        </w:rPr>
        <w:t>发</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需</w:t>
      </w:r>
      <w:r>
        <w:rPr>
          <w:rFonts w:ascii="宋体" w:hAnsi="宋体"/>
          <w:color w:val="auto"/>
          <w:spacing w:val="-3"/>
          <w:sz w:val="21"/>
          <w:szCs w:val="21"/>
          <w:highlight w:val="none"/>
        </w:rPr>
        <w:t>批</w:t>
      </w:r>
      <w:r>
        <w:rPr>
          <w:rFonts w:ascii="宋体" w:hAnsi="宋体"/>
          <w:color w:val="auto"/>
          <w:sz w:val="21"/>
          <w:szCs w:val="21"/>
          <w:highlight w:val="none"/>
        </w:rPr>
        <w:t>准</w:t>
      </w:r>
      <w:r>
        <w:rPr>
          <w:rFonts w:ascii="宋体" w:hAnsi="宋体"/>
          <w:color w:val="auto"/>
          <w:spacing w:val="-3"/>
          <w:sz w:val="21"/>
          <w:szCs w:val="21"/>
          <w:highlight w:val="none"/>
        </w:rPr>
        <w:t>明确</w:t>
      </w:r>
      <w:r>
        <w:rPr>
          <w:rFonts w:ascii="宋体" w:hAnsi="宋体"/>
          <w:color w:val="auto"/>
          <w:sz w:val="21"/>
          <w:szCs w:val="21"/>
          <w:highlight w:val="none"/>
        </w:rPr>
        <w:t>行使</w:t>
      </w:r>
      <w:r>
        <w:rPr>
          <w:rFonts w:ascii="宋体" w:hAnsi="宋体"/>
          <w:color w:val="auto"/>
          <w:spacing w:val="-3"/>
          <w:sz w:val="21"/>
          <w:szCs w:val="21"/>
          <w:highlight w:val="none"/>
        </w:rPr>
        <w:t>的</w:t>
      </w:r>
      <w:r>
        <w:rPr>
          <w:rFonts w:ascii="宋体" w:hAnsi="宋体"/>
          <w:color w:val="auto"/>
          <w:sz w:val="21"/>
          <w:szCs w:val="21"/>
          <w:highlight w:val="none"/>
        </w:rPr>
        <w:t>权</w:t>
      </w:r>
      <w:r>
        <w:rPr>
          <w:rFonts w:ascii="宋体" w:hAnsi="宋体"/>
          <w:color w:val="auto"/>
          <w:spacing w:val="-3"/>
          <w:sz w:val="21"/>
          <w:szCs w:val="21"/>
          <w:highlight w:val="none"/>
        </w:rPr>
        <w:t>力</w:t>
      </w:r>
      <w:r>
        <w:rPr>
          <w:rFonts w:ascii="宋体" w:hAnsi="宋体"/>
          <w:color w:val="auto"/>
          <w:sz w:val="21"/>
          <w:szCs w:val="21"/>
          <w:highlight w:val="none"/>
        </w:rPr>
        <w:t>：</w:t>
      </w:r>
      <w:r>
        <w:rPr>
          <w:rFonts w:hint="eastAsia" w:ascii="宋体" w:hAnsi="宋体"/>
          <w:color w:val="auto"/>
          <w:sz w:val="21"/>
          <w:szCs w:val="21"/>
          <w:highlight w:val="none"/>
          <w:u w:val="single"/>
        </w:rPr>
        <w:t>1、在发出有关能引起工程费用实际增加（减少）或延长工期的指令前，应得到业主的书面批准。2、监理工程师在向承包人发出有关技术规范的重大变更或有关变更合同条款的任何指令前均应获得业主书面批准。3、工程实际竣工日期提前或超过工程承包合同规定的竣工期限的签认之前应得到业主的书面批准  。</w:t>
      </w:r>
    </w:p>
    <w:p>
      <w:pPr>
        <w:tabs>
          <w:tab w:val="left" w:pos="1314"/>
          <w:tab w:val="left" w:pos="8453"/>
        </w:tabs>
        <w:adjustRightInd/>
        <w:spacing w:line="240" w:lineRule="auto"/>
        <w:ind w:left="578" w:firstLine="0" w:firstLineChars="0"/>
        <w:textAlignment w:val="auto"/>
        <w:rPr>
          <w:rFonts w:ascii="宋体" w:hAnsi="宋体"/>
          <w:color w:val="auto"/>
          <w:sz w:val="21"/>
          <w:szCs w:val="21"/>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67" w:name="_bookmark108"/>
      <w:bookmarkEnd w:id="767"/>
      <w:r>
        <w:rPr>
          <w:rFonts w:ascii="宋体" w:hAnsi="宋体" w:cs="宋体"/>
          <w:color w:val="auto"/>
          <w:spacing w:val="1"/>
          <w:sz w:val="28"/>
          <w:szCs w:val="28"/>
          <w:highlight w:val="none"/>
        </w:rPr>
        <w:t>4</w:t>
      </w:r>
      <w:r>
        <w:rPr>
          <w:rFonts w:ascii="宋体" w:hAnsi="宋体" w:cs="宋体"/>
          <w:color w:val="auto"/>
          <w:spacing w:val="-2"/>
          <w:sz w:val="28"/>
          <w:szCs w:val="28"/>
          <w:highlight w:val="none"/>
        </w:rPr>
        <w:t>.</w:t>
      </w:r>
      <w:r>
        <w:rPr>
          <w:rFonts w:ascii="宋体" w:hAnsi="宋体" w:cs="宋体"/>
          <w:color w:val="auto"/>
          <w:sz w:val="28"/>
          <w:szCs w:val="28"/>
          <w:highlight w:val="none"/>
        </w:rPr>
        <w:t>承包人</w:t>
      </w:r>
    </w:p>
    <w:p>
      <w:pPr>
        <w:adjustRightInd/>
        <w:spacing w:before="5"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68" w:name="_bookmark109"/>
      <w:bookmarkEnd w:id="768"/>
      <w:r>
        <w:rPr>
          <w:rFonts w:ascii="宋体" w:hAnsi="宋体" w:cs="宋体"/>
          <w:color w:val="auto"/>
          <w:szCs w:val="24"/>
          <w:highlight w:val="none"/>
        </w:rPr>
        <w:t>4.1</w:t>
      </w:r>
      <w:r>
        <w:rPr>
          <w:rFonts w:ascii="宋体" w:hAnsi="宋体" w:cs="宋体"/>
          <w:color w:val="auto"/>
          <w:szCs w:val="24"/>
          <w:highlight w:val="none"/>
        </w:rPr>
        <w:tab/>
      </w:r>
      <w:r>
        <w:rPr>
          <w:rFonts w:ascii="宋体" w:hAnsi="宋体" w:cs="宋体"/>
          <w:color w:val="auto"/>
          <w:szCs w:val="24"/>
          <w:highlight w:val="none"/>
        </w:rPr>
        <w:t>承包人的一般义务</w:t>
      </w:r>
    </w:p>
    <w:p>
      <w:pPr>
        <w:adjustRightInd/>
        <w:spacing w:before="5" w:line="240" w:lineRule="exact"/>
        <w:ind w:firstLine="0" w:firstLineChars="0"/>
        <w:textAlignment w:val="auto"/>
        <w:rPr>
          <w:rFonts w:ascii="Calibri" w:hAnsi="Calibri"/>
          <w:color w:val="auto"/>
          <w:szCs w:val="24"/>
          <w:highlight w:val="none"/>
        </w:rPr>
      </w:pPr>
    </w:p>
    <w:p>
      <w:pPr>
        <w:tabs>
          <w:tab w:val="left" w:pos="1314"/>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4.1.8</w:t>
      </w:r>
      <w:r>
        <w:rPr>
          <w:rFonts w:ascii="宋体" w:hAnsi="宋体" w:cs="宋体"/>
          <w:color w:val="auto"/>
          <w:sz w:val="21"/>
          <w:szCs w:val="21"/>
          <w:highlight w:val="none"/>
        </w:rPr>
        <w:tab/>
      </w:r>
      <w:r>
        <w:rPr>
          <w:rFonts w:ascii="宋体" w:hAnsi="宋体"/>
          <w:color w:val="auto"/>
          <w:spacing w:val="-3"/>
          <w:sz w:val="21"/>
          <w:szCs w:val="21"/>
          <w:highlight w:val="none"/>
        </w:rPr>
        <w:t>为</w:t>
      </w:r>
      <w:r>
        <w:rPr>
          <w:rFonts w:ascii="宋体" w:hAnsi="宋体"/>
          <w:color w:val="auto"/>
          <w:sz w:val="21"/>
          <w:szCs w:val="21"/>
          <w:highlight w:val="none"/>
        </w:rPr>
        <w:t>他</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方便</w:t>
      </w:r>
    </w:p>
    <w:p>
      <w:pPr>
        <w:tabs>
          <w:tab w:val="left" w:pos="8456"/>
        </w:tabs>
        <w:adjustRightInd/>
        <w:spacing w:before="98" w:line="316" w:lineRule="auto"/>
        <w:ind w:left="158" w:right="151" w:firstLine="314"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89"/>
          <w:sz w:val="21"/>
          <w:szCs w:val="21"/>
          <w:highlight w:val="none"/>
        </w:rPr>
        <w:t>）</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应</w:t>
      </w:r>
      <w:r>
        <w:rPr>
          <w:rFonts w:ascii="宋体" w:hAnsi="宋体"/>
          <w:color w:val="auto"/>
          <w:spacing w:val="-3"/>
          <w:sz w:val="21"/>
          <w:szCs w:val="21"/>
          <w:highlight w:val="none"/>
        </w:rPr>
        <w:t>当</w:t>
      </w:r>
      <w:r>
        <w:rPr>
          <w:rFonts w:ascii="宋体" w:hAnsi="宋体"/>
          <w:color w:val="auto"/>
          <w:sz w:val="21"/>
          <w:szCs w:val="21"/>
          <w:highlight w:val="none"/>
        </w:rPr>
        <w:t>对</w:t>
      </w:r>
      <w:r>
        <w:rPr>
          <w:rFonts w:ascii="宋体" w:hAnsi="宋体"/>
          <w:color w:val="auto"/>
          <w:spacing w:val="-3"/>
          <w:sz w:val="21"/>
          <w:szCs w:val="21"/>
          <w:highlight w:val="none"/>
        </w:rPr>
        <w:t>在</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场地</w:t>
      </w:r>
      <w:r>
        <w:rPr>
          <w:rFonts w:ascii="宋体" w:hAnsi="宋体"/>
          <w:color w:val="auto"/>
          <w:spacing w:val="-3"/>
          <w:sz w:val="21"/>
          <w:szCs w:val="21"/>
          <w:highlight w:val="none"/>
        </w:rPr>
        <w:t>或</w:t>
      </w:r>
      <w:r>
        <w:rPr>
          <w:rFonts w:ascii="宋体" w:hAnsi="宋体"/>
          <w:color w:val="auto"/>
          <w:sz w:val="21"/>
          <w:szCs w:val="21"/>
          <w:highlight w:val="none"/>
        </w:rPr>
        <w:t>者</w:t>
      </w:r>
      <w:r>
        <w:rPr>
          <w:rFonts w:ascii="宋体" w:hAnsi="宋体"/>
          <w:color w:val="auto"/>
          <w:spacing w:val="-3"/>
          <w:sz w:val="21"/>
          <w:szCs w:val="21"/>
          <w:highlight w:val="none"/>
        </w:rPr>
        <w:t>附</w:t>
      </w:r>
      <w:r>
        <w:rPr>
          <w:rFonts w:ascii="宋体" w:hAnsi="宋体"/>
          <w:color w:val="auto"/>
          <w:sz w:val="21"/>
          <w:szCs w:val="21"/>
          <w:highlight w:val="none"/>
        </w:rPr>
        <w:t>近</w:t>
      </w:r>
      <w:r>
        <w:rPr>
          <w:rFonts w:ascii="宋体" w:hAnsi="宋体"/>
          <w:color w:val="auto"/>
          <w:spacing w:val="-3"/>
          <w:sz w:val="21"/>
          <w:szCs w:val="21"/>
          <w:highlight w:val="none"/>
        </w:rPr>
        <w:t>实</w:t>
      </w:r>
      <w:r>
        <w:rPr>
          <w:rFonts w:ascii="宋体" w:hAnsi="宋体"/>
          <w:color w:val="auto"/>
          <w:sz w:val="21"/>
          <w:szCs w:val="21"/>
          <w:highlight w:val="none"/>
        </w:rPr>
        <w:t>施</w:t>
      </w:r>
      <w:r>
        <w:rPr>
          <w:rFonts w:ascii="宋体" w:hAnsi="宋体"/>
          <w:color w:val="auto"/>
          <w:spacing w:val="-3"/>
          <w:sz w:val="21"/>
          <w:szCs w:val="21"/>
          <w:highlight w:val="none"/>
        </w:rPr>
        <w:t>与</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工程</w:t>
      </w:r>
      <w:r>
        <w:rPr>
          <w:rFonts w:ascii="宋体" w:hAnsi="宋体"/>
          <w:color w:val="auto"/>
          <w:spacing w:val="-3"/>
          <w:sz w:val="21"/>
          <w:szCs w:val="21"/>
          <w:highlight w:val="none"/>
        </w:rPr>
        <w:t>有</w:t>
      </w:r>
      <w:r>
        <w:rPr>
          <w:rFonts w:ascii="宋体" w:hAnsi="宋体"/>
          <w:color w:val="auto"/>
          <w:sz w:val="21"/>
          <w:szCs w:val="21"/>
          <w:highlight w:val="none"/>
        </w:rPr>
        <w:t>关</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工</w:t>
      </w:r>
      <w:r>
        <w:rPr>
          <w:rFonts w:ascii="宋体" w:hAnsi="宋体"/>
          <w:color w:val="auto"/>
          <w:spacing w:val="-3"/>
          <w:sz w:val="21"/>
          <w:szCs w:val="21"/>
          <w:highlight w:val="none"/>
        </w:rPr>
        <w:t>作</w:t>
      </w:r>
      <w:r>
        <w:rPr>
          <w:rFonts w:ascii="宋体" w:hAnsi="宋体"/>
          <w:color w:val="auto"/>
          <w:sz w:val="21"/>
          <w:szCs w:val="21"/>
          <w:highlight w:val="none"/>
        </w:rPr>
        <w:t>的</w:t>
      </w:r>
      <w:r>
        <w:rPr>
          <w:rFonts w:ascii="宋体" w:hAnsi="宋体"/>
          <w:color w:val="auto"/>
          <w:spacing w:val="-3"/>
          <w:sz w:val="21"/>
          <w:szCs w:val="21"/>
          <w:highlight w:val="none"/>
        </w:rPr>
        <w:t>独</w:t>
      </w:r>
      <w:r>
        <w:rPr>
          <w:rFonts w:ascii="宋体" w:hAnsi="宋体"/>
          <w:color w:val="auto"/>
          <w:sz w:val="21"/>
          <w:szCs w:val="21"/>
          <w:highlight w:val="none"/>
        </w:rPr>
        <w:t>立承</w:t>
      </w:r>
      <w:r>
        <w:rPr>
          <w:rFonts w:ascii="宋体" w:hAnsi="宋体"/>
          <w:color w:val="auto"/>
          <w:spacing w:val="-3"/>
          <w:sz w:val="21"/>
          <w:szCs w:val="21"/>
          <w:highlight w:val="none"/>
        </w:rPr>
        <w:t>包人</w:t>
      </w:r>
      <w:r>
        <w:rPr>
          <w:rFonts w:ascii="宋体" w:hAnsi="宋体"/>
          <w:color w:val="auto"/>
          <w:sz w:val="21"/>
          <w:szCs w:val="21"/>
          <w:highlight w:val="none"/>
        </w:rPr>
        <w:t>履 行管</w:t>
      </w:r>
      <w:r>
        <w:rPr>
          <w:rFonts w:ascii="宋体" w:hAnsi="宋体"/>
          <w:color w:val="auto"/>
          <w:spacing w:val="-3"/>
          <w:sz w:val="21"/>
          <w:szCs w:val="21"/>
          <w:highlight w:val="none"/>
        </w:rPr>
        <w:t>理</w:t>
      </w:r>
      <w:r>
        <w:rPr>
          <w:rFonts w:ascii="宋体" w:hAnsi="宋体"/>
          <w:color w:val="auto"/>
          <w:sz w:val="21"/>
          <w:szCs w:val="21"/>
          <w:highlight w:val="none"/>
        </w:rPr>
        <w:t>、</w:t>
      </w:r>
      <w:r>
        <w:rPr>
          <w:rFonts w:ascii="宋体" w:hAnsi="宋体"/>
          <w:color w:val="auto"/>
          <w:spacing w:val="-3"/>
          <w:sz w:val="21"/>
          <w:szCs w:val="21"/>
          <w:highlight w:val="none"/>
        </w:rPr>
        <w:t>协</w:t>
      </w:r>
      <w:r>
        <w:rPr>
          <w:rFonts w:ascii="宋体" w:hAnsi="宋体"/>
          <w:color w:val="auto"/>
          <w:sz w:val="21"/>
          <w:szCs w:val="21"/>
          <w:highlight w:val="none"/>
        </w:rPr>
        <w:t>调</w:t>
      </w:r>
      <w:r>
        <w:rPr>
          <w:rFonts w:ascii="宋体" w:hAnsi="宋体"/>
          <w:color w:val="auto"/>
          <w:spacing w:val="-3"/>
          <w:sz w:val="21"/>
          <w:szCs w:val="21"/>
          <w:highlight w:val="none"/>
        </w:rPr>
        <w:t>、</w:t>
      </w:r>
      <w:r>
        <w:rPr>
          <w:rFonts w:ascii="宋体" w:hAnsi="宋体"/>
          <w:color w:val="auto"/>
          <w:sz w:val="21"/>
          <w:szCs w:val="21"/>
          <w:highlight w:val="none"/>
        </w:rPr>
        <w:t>配</w:t>
      </w:r>
      <w:r>
        <w:rPr>
          <w:rFonts w:ascii="宋体" w:hAnsi="宋体"/>
          <w:color w:val="auto"/>
          <w:spacing w:val="-3"/>
          <w:sz w:val="21"/>
          <w:szCs w:val="21"/>
          <w:highlight w:val="none"/>
        </w:rPr>
        <w:t>合</w:t>
      </w:r>
      <w:r>
        <w:rPr>
          <w:rFonts w:ascii="宋体" w:hAnsi="宋体"/>
          <w:color w:val="auto"/>
          <w:sz w:val="21"/>
          <w:szCs w:val="21"/>
          <w:highlight w:val="none"/>
        </w:rPr>
        <w:t>、</w:t>
      </w:r>
      <w:r>
        <w:rPr>
          <w:rFonts w:ascii="宋体" w:hAnsi="宋体"/>
          <w:color w:val="auto"/>
          <w:spacing w:val="-3"/>
          <w:sz w:val="21"/>
          <w:szCs w:val="21"/>
          <w:highlight w:val="none"/>
        </w:rPr>
        <w:t>照</w:t>
      </w:r>
      <w:r>
        <w:rPr>
          <w:rFonts w:ascii="宋体" w:hAnsi="宋体"/>
          <w:color w:val="auto"/>
          <w:sz w:val="21"/>
          <w:szCs w:val="21"/>
          <w:highlight w:val="none"/>
        </w:rPr>
        <w:t>管和</w:t>
      </w:r>
      <w:r>
        <w:rPr>
          <w:rFonts w:ascii="宋体" w:hAnsi="宋体"/>
          <w:color w:val="auto"/>
          <w:spacing w:val="-3"/>
          <w:sz w:val="21"/>
          <w:szCs w:val="21"/>
          <w:highlight w:val="none"/>
        </w:rPr>
        <w:t>服</w:t>
      </w:r>
      <w:r>
        <w:rPr>
          <w:rFonts w:ascii="宋体" w:hAnsi="宋体"/>
          <w:color w:val="auto"/>
          <w:sz w:val="21"/>
          <w:szCs w:val="21"/>
          <w:highlight w:val="none"/>
        </w:rPr>
        <w:t>务</w:t>
      </w:r>
      <w:r>
        <w:rPr>
          <w:rFonts w:ascii="宋体" w:hAnsi="宋体"/>
          <w:color w:val="auto"/>
          <w:spacing w:val="-3"/>
          <w:sz w:val="21"/>
          <w:szCs w:val="21"/>
          <w:highlight w:val="none"/>
        </w:rPr>
        <w:t>义</w:t>
      </w:r>
      <w:r>
        <w:rPr>
          <w:rFonts w:ascii="宋体" w:hAnsi="宋体"/>
          <w:color w:val="auto"/>
          <w:sz w:val="21"/>
          <w:szCs w:val="21"/>
          <w:highlight w:val="none"/>
        </w:rPr>
        <w:t>务</w:t>
      </w:r>
      <w:r>
        <w:rPr>
          <w:rFonts w:ascii="宋体" w:hAnsi="宋体"/>
          <w:color w:val="auto"/>
          <w:spacing w:val="-3"/>
          <w:sz w:val="21"/>
          <w:szCs w:val="21"/>
          <w:highlight w:val="none"/>
        </w:rPr>
        <w:t>的</w:t>
      </w:r>
      <w:r>
        <w:rPr>
          <w:rFonts w:ascii="宋体" w:hAnsi="宋体"/>
          <w:color w:val="auto"/>
          <w:sz w:val="21"/>
          <w:szCs w:val="21"/>
          <w:highlight w:val="none"/>
        </w:rPr>
        <w:t>具</w:t>
      </w:r>
      <w:r>
        <w:rPr>
          <w:rFonts w:ascii="宋体" w:hAnsi="宋体"/>
          <w:color w:val="auto"/>
          <w:spacing w:val="-3"/>
          <w:sz w:val="21"/>
          <w:szCs w:val="21"/>
          <w:highlight w:val="none"/>
        </w:rPr>
        <w:t>体</w:t>
      </w:r>
      <w:r>
        <w:rPr>
          <w:rFonts w:ascii="宋体" w:hAnsi="宋体"/>
          <w:color w:val="auto"/>
          <w:sz w:val="21"/>
          <w:szCs w:val="21"/>
          <w:highlight w:val="none"/>
        </w:rPr>
        <w:t>工</w:t>
      </w:r>
      <w:r>
        <w:rPr>
          <w:rFonts w:ascii="宋体" w:hAnsi="宋体"/>
          <w:color w:val="auto"/>
          <w:spacing w:val="-3"/>
          <w:sz w:val="21"/>
          <w:szCs w:val="21"/>
          <w:highlight w:val="none"/>
        </w:rPr>
        <w:t>作</w:t>
      </w:r>
      <w:r>
        <w:rPr>
          <w:rFonts w:ascii="宋体" w:hAnsi="宋体"/>
          <w:color w:val="auto"/>
          <w:sz w:val="21"/>
          <w:szCs w:val="21"/>
          <w:highlight w:val="none"/>
        </w:rPr>
        <w:t>内容</w:t>
      </w:r>
      <w:r>
        <w:rPr>
          <w:rFonts w:ascii="宋体" w:hAnsi="宋体"/>
          <w:color w:val="auto"/>
          <w:spacing w:val="-3"/>
          <w:sz w:val="21"/>
          <w:szCs w:val="21"/>
          <w:highlight w:val="none"/>
        </w:rPr>
        <w:t>和</w:t>
      </w:r>
      <w:r>
        <w:rPr>
          <w:rFonts w:ascii="宋体" w:hAnsi="宋体"/>
          <w:color w:val="auto"/>
          <w:sz w:val="21"/>
          <w:szCs w:val="21"/>
          <w:highlight w:val="none"/>
        </w:rPr>
        <w:t>要</w:t>
      </w:r>
      <w:r>
        <w:rPr>
          <w:rFonts w:ascii="宋体" w:hAnsi="宋体"/>
          <w:color w:val="auto"/>
          <w:spacing w:val="-3"/>
          <w:sz w:val="21"/>
          <w:szCs w:val="21"/>
          <w:highlight w:val="none"/>
        </w:rPr>
        <w:t>求</w:t>
      </w:r>
      <w:r>
        <w:rPr>
          <w:rFonts w:ascii="宋体" w:hAnsi="宋体"/>
          <w:color w:val="auto"/>
          <w:sz w:val="21"/>
          <w:szCs w:val="21"/>
          <w:highlight w:val="none"/>
        </w:rPr>
        <w:t>：</w:t>
      </w:r>
      <w:r>
        <w:rPr>
          <w:rFonts w:hint="eastAsia" w:ascii="宋体" w:hAnsi="宋体"/>
          <w:color w:val="auto"/>
          <w:sz w:val="21"/>
          <w:szCs w:val="21"/>
          <w:highlight w:val="none"/>
          <w:u w:val="single" w:color="000000"/>
        </w:rPr>
        <w:t xml:space="preserve">为其他独立承包人在使用施工用地、道路和其他公用设施等方面提供方便。  </w:t>
      </w:r>
    </w:p>
    <w:p>
      <w:pPr>
        <w:adjustRightInd/>
        <w:spacing w:before="1" w:line="240" w:lineRule="exact"/>
        <w:ind w:firstLine="0" w:firstLineChars="0"/>
        <w:textAlignment w:val="auto"/>
        <w:rPr>
          <w:rFonts w:ascii="Calibri" w:hAnsi="Calibri"/>
          <w:color w:val="auto"/>
          <w:szCs w:val="24"/>
          <w:highlight w:val="none"/>
        </w:rPr>
      </w:pPr>
    </w:p>
    <w:p>
      <w:pPr>
        <w:tabs>
          <w:tab w:val="left" w:pos="1420"/>
          <w:tab w:val="left" w:pos="8350"/>
        </w:tabs>
        <w:adjustRightInd/>
        <w:spacing w:before="1" w:line="316" w:lineRule="auto"/>
        <w:ind w:left="578" w:right="275" w:firstLine="0" w:firstLineChars="0"/>
        <w:textAlignment w:val="auto"/>
        <w:rPr>
          <w:rFonts w:ascii="宋体" w:hAnsi="宋体"/>
          <w:color w:val="auto"/>
          <w:spacing w:val="-3"/>
          <w:sz w:val="21"/>
          <w:szCs w:val="21"/>
          <w:highlight w:val="none"/>
        </w:rPr>
      </w:pPr>
      <w:r>
        <w:rPr>
          <w:rFonts w:ascii="宋体" w:hAnsi="宋体" w:cs="宋体"/>
          <w:color w:val="auto"/>
          <w:sz w:val="21"/>
          <w:szCs w:val="21"/>
          <w:highlight w:val="none"/>
        </w:rPr>
        <w:t>4.1.10</w:t>
      </w:r>
      <w:r>
        <w:rPr>
          <w:rFonts w:ascii="宋体" w:hAnsi="宋体" w:cs="宋体"/>
          <w:color w:val="auto"/>
          <w:sz w:val="21"/>
          <w:szCs w:val="21"/>
          <w:highlight w:val="none"/>
        </w:rPr>
        <w:tab/>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的</w:t>
      </w:r>
      <w:r>
        <w:rPr>
          <w:rFonts w:ascii="宋体" w:hAnsi="宋体"/>
          <w:color w:val="auto"/>
          <w:spacing w:val="-3"/>
          <w:sz w:val="21"/>
          <w:szCs w:val="21"/>
          <w:highlight w:val="none"/>
        </w:rPr>
        <w:t>设</w:t>
      </w:r>
      <w:r>
        <w:rPr>
          <w:rFonts w:ascii="宋体" w:hAnsi="宋体"/>
          <w:color w:val="auto"/>
          <w:sz w:val="21"/>
          <w:szCs w:val="21"/>
          <w:highlight w:val="none"/>
        </w:rPr>
        <w:t>计</w:t>
      </w:r>
      <w:r>
        <w:rPr>
          <w:rFonts w:ascii="宋体" w:hAnsi="宋体"/>
          <w:color w:val="auto"/>
          <w:spacing w:val="-3"/>
          <w:sz w:val="21"/>
          <w:szCs w:val="21"/>
          <w:highlight w:val="none"/>
        </w:rPr>
        <w:t>工</w:t>
      </w:r>
      <w:r>
        <w:rPr>
          <w:rFonts w:ascii="宋体" w:hAnsi="宋体"/>
          <w:color w:val="auto"/>
          <w:sz w:val="21"/>
          <w:szCs w:val="21"/>
          <w:highlight w:val="none"/>
        </w:rPr>
        <w:t>作 承包</w:t>
      </w:r>
      <w:r>
        <w:rPr>
          <w:rFonts w:ascii="宋体" w:hAnsi="宋体"/>
          <w:color w:val="auto"/>
          <w:spacing w:val="-3"/>
          <w:sz w:val="21"/>
          <w:szCs w:val="21"/>
          <w:highlight w:val="none"/>
        </w:rPr>
        <w:t>人</w:t>
      </w:r>
      <w:r>
        <w:rPr>
          <w:rFonts w:ascii="宋体" w:hAnsi="宋体"/>
          <w:color w:val="auto"/>
          <w:sz w:val="21"/>
          <w:szCs w:val="21"/>
          <w:highlight w:val="none"/>
        </w:rPr>
        <w:t>承</w:t>
      </w:r>
      <w:r>
        <w:rPr>
          <w:rFonts w:ascii="宋体" w:hAnsi="宋体"/>
          <w:color w:val="auto"/>
          <w:spacing w:val="-3"/>
          <w:sz w:val="21"/>
          <w:szCs w:val="21"/>
          <w:highlight w:val="none"/>
        </w:rPr>
        <w:t>担</w:t>
      </w:r>
      <w:r>
        <w:rPr>
          <w:rFonts w:ascii="宋体" w:hAnsi="宋体"/>
          <w:color w:val="auto"/>
          <w:sz w:val="21"/>
          <w:szCs w:val="21"/>
          <w:highlight w:val="none"/>
        </w:rPr>
        <w:t>的</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图</w:t>
      </w:r>
      <w:r>
        <w:rPr>
          <w:rFonts w:ascii="宋体" w:hAnsi="宋体"/>
          <w:color w:val="auto"/>
          <w:sz w:val="21"/>
          <w:szCs w:val="21"/>
          <w:highlight w:val="none"/>
        </w:rPr>
        <w:t>设</w:t>
      </w:r>
      <w:r>
        <w:rPr>
          <w:rFonts w:ascii="宋体" w:hAnsi="宋体"/>
          <w:color w:val="auto"/>
          <w:spacing w:val="-3"/>
          <w:sz w:val="21"/>
          <w:szCs w:val="21"/>
          <w:highlight w:val="none"/>
        </w:rPr>
        <w:t>计</w:t>
      </w:r>
      <w:r>
        <w:rPr>
          <w:rFonts w:ascii="宋体" w:hAnsi="宋体"/>
          <w:color w:val="auto"/>
          <w:sz w:val="21"/>
          <w:szCs w:val="21"/>
          <w:highlight w:val="none"/>
        </w:rPr>
        <w:t>或与</w:t>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配</w:t>
      </w:r>
      <w:r>
        <w:rPr>
          <w:rFonts w:ascii="宋体" w:hAnsi="宋体"/>
          <w:color w:val="auto"/>
          <w:sz w:val="21"/>
          <w:szCs w:val="21"/>
          <w:highlight w:val="none"/>
        </w:rPr>
        <w:t>套</w:t>
      </w:r>
      <w:r>
        <w:rPr>
          <w:rFonts w:ascii="宋体" w:hAnsi="宋体"/>
          <w:color w:val="auto"/>
          <w:spacing w:val="-3"/>
          <w:sz w:val="21"/>
          <w:szCs w:val="21"/>
          <w:highlight w:val="none"/>
        </w:rPr>
        <w:t>的</w:t>
      </w:r>
      <w:r>
        <w:rPr>
          <w:rFonts w:ascii="宋体" w:hAnsi="宋体"/>
          <w:color w:val="auto"/>
          <w:sz w:val="21"/>
          <w:szCs w:val="21"/>
          <w:highlight w:val="none"/>
        </w:rPr>
        <w:t>设</w:t>
      </w:r>
      <w:r>
        <w:rPr>
          <w:rFonts w:ascii="宋体" w:hAnsi="宋体"/>
          <w:color w:val="auto"/>
          <w:spacing w:val="-3"/>
          <w:sz w:val="21"/>
          <w:szCs w:val="21"/>
          <w:highlight w:val="none"/>
        </w:rPr>
        <w:t>计</w:t>
      </w:r>
      <w:r>
        <w:rPr>
          <w:rFonts w:ascii="宋体" w:hAnsi="宋体"/>
          <w:color w:val="auto"/>
          <w:sz w:val="21"/>
          <w:szCs w:val="21"/>
          <w:highlight w:val="none"/>
        </w:rPr>
        <w:t>工</w:t>
      </w:r>
      <w:r>
        <w:rPr>
          <w:rFonts w:ascii="宋体" w:hAnsi="宋体"/>
          <w:color w:val="auto"/>
          <w:spacing w:val="-3"/>
          <w:sz w:val="21"/>
          <w:szCs w:val="21"/>
          <w:highlight w:val="none"/>
        </w:rPr>
        <w:t>作</w:t>
      </w:r>
      <w:r>
        <w:rPr>
          <w:rFonts w:ascii="宋体" w:hAnsi="宋体"/>
          <w:color w:val="auto"/>
          <w:sz w:val="21"/>
          <w:szCs w:val="21"/>
          <w:highlight w:val="none"/>
        </w:rPr>
        <w:t>内容</w:t>
      </w:r>
      <w:r>
        <w:rPr>
          <w:rFonts w:ascii="宋体" w:hAnsi="宋体"/>
          <w:color w:val="auto"/>
          <w:spacing w:val="-3"/>
          <w:sz w:val="21"/>
          <w:szCs w:val="21"/>
          <w:highlight w:val="none"/>
        </w:rPr>
        <w:t>：</w:t>
      </w:r>
    </w:p>
    <w:p>
      <w:pPr>
        <w:tabs>
          <w:tab w:val="left" w:pos="1420"/>
          <w:tab w:val="left" w:pos="8350"/>
        </w:tabs>
        <w:adjustRightInd/>
        <w:spacing w:before="1" w:line="316" w:lineRule="auto"/>
        <w:ind w:left="578" w:right="275" w:firstLine="0" w:firstLineChars="0"/>
        <w:textAlignment w:val="auto"/>
        <w:rPr>
          <w:rFonts w:ascii="宋体" w:hAnsi="宋体"/>
          <w:color w:val="auto"/>
          <w:spacing w:val="-3"/>
          <w:sz w:val="21"/>
          <w:szCs w:val="21"/>
          <w:highlight w:val="none"/>
        </w:rPr>
      </w:pPr>
      <w:r>
        <w:rPr>
          <w:rFonts w:hint="eastAsia" w:ascii="宋体" w:hAnsi="宋体"/>
          <w:color w:val="auto"/>
          <w:sz w:val="21"/>
          <w:szCs w:val="21"/>
          <w:highlight w:val="none"/>
          <w:u w:val="single"/>
        </w:rPr>
        <w:t>1）由承包人设计的永久工程的图纸；2）按照工程技术规范的相关要求需要制作加工图、大样图、安装图</w:t>
      </w: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4.1.12</w:t>
      </w:r>
      <w:r>
        <w:rPr>
          <w:rFonts w:ascii="宋体" w:hAnsi="宋体" w:cs="宋体"/>
          <w:color w:val="auto"/>
          <w:sz w:val="21"/>
          <w:szCs w:val="21"/>
          <w:highlight w:val="none"/>
        </w:rPr>
        <w:tab/>
      </w:r>
      <w:r>
        <w:rPr>
          <w:rFonts w:ascii="宋体" w:hAnsi="宋体"/>
          <w:color w:val="auto"/>
          <w:spacing w:val="-3"/>
          <w:sz w:val="21"/>
          <w:szCs w:val="21"/>
          <w:highlight w:val="none"/>
        </w:rPr>
        <w:t>其</w:t>
      </w:r>
      <w:r>
        <w:rPr>
          <w:rFonts w:ascii="宋体" w:hAnsi="宋体"/>
          <w:color w:val="auto"/>
          <w:sz w:val="21"/>
          <w:szCs w:val="21"/>
          <w:highlight w:val="none"/>
        </w:rPr>
        <w:t>他</w:t>
      </w:r>
      <w:r>
        <w:rPr>
          <w:rFonts w:ascii="宋体" w:hAnsi="宋体"/>
          <w:color w:val="auto"/>
          <w:spacing w:val="-3"/>
          <w:sz w:val="21"/>
          <w:szCs w:val="21"/>
          <w:highlight w:val="none"/>
        </w:rPr>
        <w:t>义</w:t>
      </w:r>
      <w:r>
        <w:rPr>
          <w:rFonts w:ascii="宋体" w:hAnsi="宋体"/>
          <w:color w:val="auto"/>
          <w:sz w:val="21"/>
          <w:szCs w:val="21"/>
          <w:highlight w:val="none"/>
        </w:rPr>
        <w:t>务</w:t>
      </w:r>
    </w:p>
    <w:p>
      <w:pPr>
        <w:tabs>
          <w:tab w:val="left" w:pos="8470"/>
        </w:tabs>
        <w:adjustRightInd/>
        <w:spacing w:before="99"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应</w:t>
      </w:r>
      <w:r>
        <w:rPr>
          <w:rFonts w:ascii="宋体" w:hAnsi="宋体"/>
          <w:color w:val="auto"/>
          <w:spacing w:val="-3"/>
          <w:sz w:val="21"/>
          <w:szCs w:val="21"/>
          <w:highlight w:val="none"/>
        </w:rPr>
        <w:t>履</w:t>
      </w:r>
      <w:r>
        <w:rPr>
          <w:rFonts w:ascii="宋体" w:hAnsi="宋体"/>
          <w:color w:val="auto"/>
          <w:sz w:val="21"/>
          <w:szCs w:val="21"/>
          <w:highlight w:val="none"/>
        </w:rPr>
        <w:t>行</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义</w:t>
      </w:r>
      <w:r>
        <w:rPr>
          <w:rFonts w:ascii="宋体" w:hAnsi="宋体"/>
          <w:color w:val="auto"/>
          <w:spacing w:val="-3"/>
          <w:sz w:val="21"/>
          <w:szCs w:val="21"/>
          <w:highlight w:val="none"/>
        </w:rPr>
        <w:t>务</w:t>
      </w:r>
      <w:r>
        <w:rPr>
          <w:rFonts w:ascii="宋体" w:hAnsi="宋体"/>
          <w:color w:val="auto"/>
          <w:sz w:val="21"/>
          <w:szCs w:val="21"/>
          <w:highlight w:val="none"/>
        </w:rPr>
        <w:t>：</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bookmarkStart w:id="769" w:name="_bookmark110"/>
      <w:bookmarkEnd w:id="769"/>
      <w:r>
        <w:rPr>
          <w:rFonts w:hint="eastAsia" w:ascii="宋体" w:hAnsi="宋体"/>
          <w:color w:val="auto"/>
          <w:kern w:val="2"/>
          <w:sz w:val="21"/>
          <w:szCs w:val="21"/>
          <w:highlight w:val="none"/>
          <w:u w:val="single"/>
        </w:rPr>
        <w:t>承包人在工程施工中，不允许以任何理由拖延工期。当发包人在任何时候认为全部或部分工程的进度过慢，无法确保工程按规定的时间完成时，监理工程师向承包人发出要求加快进度的通知，承包人应立即采取必要措施，加快工程进度，确保工程按期完成，承包人无权因采取此种措施而获得任何追加款项。</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承包人须</w:t>
      </w:r>
      <w:r>
        <w:rPr>
          <w:rFonts w:ascii="宋体" w:hAnsi="宋体"/>
          <w:color w:val="auto"/>
          <w:kern w:val="2"/>
          <w:sz w:val="21"/>
          <w:szCs w:val="21"/>
          <w:highlight w:val="none"/>
          <w:u w:val="single"/>
        </w:rPr>
        <w:t>负责补遗工作</w:t>
      </w:r>
      <w:r>
        <w:rPr>
          <w:rFonts w:hint="eastAsia" w:ascii="宋体" w:hAnsi="宋体"/>
          <w:color w:val="auto"/>
          <w:kern w:val="2"/>
          <w:sz w:val="21"/>
          <w:szCs w:val="21"/>
          <w:highlight w:val="none"/>
          <w:u w:val="single"/>
        </w:rPr>
        <w:t>，</w:t>
      </w:r>
      <w:r>
        <w:rPr>
          <w:rFonts w:ascii="宋体" w:hAnsi="宋体"/>
          <w:color w:val="auto"/>
          <w:kern w:val="2"/>
          <w:sz w:val="21"/>
          <w:szCs w:val="21"/>
          <w:highlight w:val="none"/>
          <w:u w:val="single"/>
        </w:rPr>
        <w:t>如果任何为本工程正常使用功能和设计使用寿命所必须的，或为本工程适用的规范、规程和标准所 要求的工作，既未以文字形式约定为属于</w:t>
      </w:r>
      <w:r>
        <w:rPr>
          <w:rFonts w:hint="eastAsia" w:ascii="宋体" w:hAnsi="宋体"/>
          <w:color w:val="auto"/>
          <w:kern w:val="2"/>
          <w:sz w:val="21"/>
          <w:szCs w:val="21"/>
          <w:highlight w:val="none"/>
          <w:u w:val="single"/>
        </w:rPr>
        <w:t>发包人</w:t>
      </w:r>
      <w:r>
        <w:rPr>
          <w:rFonts w:ascii="宋体" w:hAnsi="宋体"/>
          <w:color w:val="auto"/>
          <w:kern w:val="2"/>
          <w:sz w:val="21"/>
          <w:szCs w:val="21"/>
          <w:highlight w:val="none"/>
          <w:u w:val="single"/>
        </w:rPr>
        <w:t>或任何其他承包商的工作，也未在本合同中以文字形式明确提及，则此类工作应由作为承担本工程总承包责任和义务的承包商自行完成。承包商不得就此类潜在责任和义务向</w:t>
      </w:r>
      <w:r>
        <w:rPr>
          <w:rFonts w:hint="eastAsia" w:ascii="宋体" w:hAnsi="宋体"/>
          <w:color w:val="auto"/>
          <w:kern w:val="2"/>
          <w:sz w:val="21"/>
          <w:szCs w:val="21"/>
          <w:highlight w:val="none"/>
          <w:u w:val="single"/>
        </w:rPr>
        <w:t>发包人</w:t>
      </w:r>
      <w:r>
        <w:rPr>
          <w:rFonts w:ascii="宋体" w:hAnsi="宋体"/>
          <w:color w:val="auto"/>
          <w:kern w:val="2"/>
          <w:sz w:val="21"/>
          <w:szCs w:val="21"/>
          <w:highlight w:val="none"/>
          <w:u w:val="single"/>
        </w:rPr>
        <w:t>提出任何费用和工期的索赔要求，且在任何情况下，承包商也不得就此提出有关其投标价格考虑不周、有缺或漏、计算错误等的补偿要求。</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承包人须遵守国家及地方法律、法规按时支付工人工资，不得拖欠、克扣，否则视为承包人违约。承包人须承担任何为执行本工程施工而须缴纳的一切税金、费用、押金等，保障发包人对此等税款、费用与收费无须负上任何责任。</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 xml:space="preserve">承包人须负责施工现场的所有施工临时设施、临时道路、备用发电机、水、电管线的修建安装，保证施工的正常进行； </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承包人应自行确定施工现场的雨水和污水排放接口位置，并应符合施工当地相关管理规定，所产生的费用由承包人承担，并包含在合同总价款中；</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承包人应承担在施工中因承包人原因发生的停工、返工、材料及物件的倒运、机械二次进场等所造成的损失；</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 xml:space="preserve">承包人有义务采取恰当的措施最大程度地避免在施工过程中产生的扰民问题。因施工原因引起的扰民问题有承包人负责处理，所发生费用已含在合同价中；给发包人造成损失的 ，承包人应负赔偿责任。如果由于正常情况下产生的不可避免的施工扰民导致的民扰对工程进展造成影响，承包人应就此及时通知监理和发包人，并负责相应的民扰处理工作，所发生费用已含在合同价中； </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 xml:space="preserve">承包人应按投标文件中所填报的人员、设备、检测仪器及时进场，不得拖延、短缺或任意更换，否则按违约处理。尽管承包人已按要求投入了上述人员、机械、设备和仪器，但监理工程师认为仍不能满足现场施工的需要并且不能保证工程质量时，监理工程师有权要求承包人继续派遣人员或调遣或租用某些机械、设备、仪器。承包人在接到指令或应立即执行，否则将视为承包人违约。 </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成品保护：承包人应提供必要的人员、材料和设备用于整个工程的成品保护，防止任何已完工作遭受任何损坏或破坏。</w:t>
      </w:r>
    </w:p>
    <w:p>
      <w:pPr>
        <w:numPr>
          <w:ilvl w:val="0"/>
          <w:numId w:val="10"/>
        </w:numPr>
        <w:tabs>
          <w:tab w:val="left" w:pos="1260"/>
        </w:tabs>
        <w:adjustRightInd/>
        <w:ind w:firstLine="454" w:firstLineChars="0"/>
        <w:jc w:val="both"/>
        <w:textAlignment w:val="auto"/>
        <w:rPr>
          <w:rFonts w:ascii="宋体" w:hAnsi="宋体"/>
          <w:color w:val="auto"/>
          <w:kern w:val="2"/>
          <w:sz w:val="21"/>
          <w:szCs w:val="21"/>
          <w:highlight w:val="none"/>
          <w:u w:val="single"/>
        </w:rPr>
      </w:pPr>
      <w:r>
        <w:rPr>
          <w:rFonts w:hint="eastAsia" w:ascii="宋体" w:hAnsi="宋体"/>
          <w:color w:val="auto"/>
          <w:kern w:val="2"/>
          <w:sz w:val="21"/>
          <w:szCs w:val="21"/>
          <w:highlight w:val="none"/>
          <w:u w:val="single"/>
        </w:rPr>
        <w:t>承包人应当协助发包人准备本工程竣工验收备案的全部材料，确保本工程的竣工资料满足工程所在地建设行政主管部门和城市建设档案管理部门及发包人档案馆（如有）对竣工资料的接收要求。</w:t>
      </w:r>
    </w:p>
    <w:p>
      <w:pPr>
        <w:adjustRightInd/>
        <w:spacing w:line="420" w:lineRule="auto"/>
        <w:ind w:firstLine="360" w:firstLineChars="150"/>
        <w:textAlignment w:val="auto"/>
        <w:rPr>
          <w:rFonts w:ascii="宋体" w:hAnsi="宋体" w:cs="宋体"/>
          <w:color w:val="auto"/>
          <w:szCs w:val="24"/>
          <w:highlight w:val="none"/>
        </w:rPr>
      </w:pPr>
      <w:r>
        <w:rPr>
          <w:rFonts w:ascii="宋体" w:hAnsi="宋体" w:cs="宋体"/>
          <w:color w:val="auto"/>
          <w:szCs w:val="24"/>
          <w:highlight w:val="none"/>
        </w:rPr>
        <w:t>4.2</w:t>
      </w:r>
      <w:r>
        <w:rPr>
          <w:rFonts w:ascii="宋体" w:hAnsi="宋体" w:cs="宋体"/>
          <w:color w:val="auto"/>
          <w:szCs w:val="24"/>
          <w:highlight w:val="none"/>
        </w:rPr>
        <w:tab/>
      </w:r>
      <w:r>
        <w:rPr>
          <w:rFonts w:ascii="宋体" w:hAnsi="宋体" w:cs="宋体"/>
          <w:color w:val="auto"/>
          <w:szCs w:val="24"/>
          <w:highlight w:val="none"/>
        </w:rPr>
        <w:t>履约担保</w:t>
      </w:r>
    </w:p>
    <w:p>
      <w:pPr>
        <w:tabs>
          <w:tab w:val="left" w:pos="1314"/>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4.2.1</w:t>
      </w:r>
      <w:r>
        <w:rPr>
          <w:rFonts w:ascii="宋体" w:hAnsi="宋体" w:cs="宋体"/>
          <w:color w:val="auto"/>
          <w:sz w:val="21"/>
          <w:szCs w:val="21"/>
          <w:highlight w:val="none"/>
        </w:rPr>
        <w:tab/>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履</w:t>
      </w:r>
      <w:r>
        <w:rPr>
          <w:rFonts w:ascii="宋体" w:hAnsi="宋体"/>
          <w:color w:val="auto"/>
          <w:spacing w:val="-3"/>
          <w:sz w:val="21"/>
          <w:szCs w:val="21"/>
          <w:highlight w:val="none"/>
        </w:rPr>
        <w:t>约</w:t>
      </w:r>
      <w:r>
        <w:rPr>
          <w:rFonts w:ascii="宋体" w:hAnsi="宋体"/>
          <w:color w:val="auto"/>
          <w:sz w:val="21"/>
          <w:szCs w:val="21"/>
          <w:highlight w:val="none"/>
        </w:rPr>
        <w:t>担</w:t>
      </w:r>
      <w:r>
        <w:rPr>
          <w:rFonts w:ascii="宋体" w:hAnsi="宋体"/>
          <w:color w:val="auto"/>
          <w:spacing w:val="-3"/>
          <w:sz w:val="21"/>
          <w:szCs w:val="21"/>
          <w:highlight w:val="none"/>
        </w:rPr>
        <w:t>保的</w:t>
      </w:r>
      <w:r>
        <w:rPr>
          <w:rFonts w:ascii="宋体" w:hAnsi="宋体"/>
          <w:color w:val="auto"/>
          <w:sz w:val="21"/>
          <w:szCs w:val="21"/>
          <w:highlight w:val="none"/>
        </w:rPr>
        <w:t>格式</w:t>
      </w:r>
      <w:r>
        <w:rPr>
          <w:rFonts w:ascii="宋体" w:hAnsi="宋体"/>
          <w:color w:val="auto"/>
          <w:spacing w:val="-3"/>
          <w:sz w:val="21"/>
          <w:szCs w:val="21"/>
          <w:highlight w:val="none"/>
        </w:rPr>
        <w:t>和</w:t>
      </w:r>
      <w:r>
        <w:rPr>
          <w:rFonts w:ascii="宋体" w:hAnsi="宋体"/>
          <w:color w:val="auto"/>
          <w:sz w:val="21"/>
          <w:szCs w:val="21"/>
          <w:highlight w:val="none"/>
        </w:rPr>
        <w:t>金额</w:t>
      </w:r>
    </w:p>
    <w:p>
      <w:pPr>
        <w:tabs>
          <w:tab w:val="left" w:pos="2155"/>
        </w:tabs>
        <w:adjustRightInd/>
        <w:spacing w:before="98"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u w:val="single"/>
        </w:rPr>
        <w:t>不要</w:t>
      </w:r>
      <w:r>
        <w:rPr>
          <w:rFonts w:ascii="宋体" w:hAnsi="宋体"/>
          <w:color w:val="auto"/>
          <w:spacing w:val="-3"/>
          <w:sz w:val="21"/>
          <w:szCs w:val="21"/>
          <w:highlight w:val="none"/>
          <w:u w:val="single"/>
        </w:rPr>
        <w:t>求</w:t>
      </w:r>
      <w:r>
        <w:rPr>
          <w:rFonts w:ascii="宋体" w:hAnsi="宋体"/>
          <w:color w:val="auto"/>
          <w:spacing w:val="-3"/>
          <w:sz w:val="21"/>
          <w:szCs w:val="21"/>
          <w:highlight w:val="none"/>
        </w:rPr>
        <w:t>（</w:t>
      </w:r>
      <w:r>
        <w:rPr>
          <w:rFonts w:ascii="宋体" w:hAnsi="宋体"/>
          <w:color w:val="auto"/>
          <w:sz w:val="21"/>
          <w:szCs w:val="21"/>
          <w:highlight w:val="none"/>
        </w:rPr>
        <w:t>要</w:t>
      </w:r>
      <w:r>
        <w:rPr>
          <w:rFonts w:ascii="宋体" w:hAnsi="宋体"/>
          <w:color w:val="auto"/>
          <w:spacing w:val="-1"/>
          <w:sz w:val="21"/>
          <w:szCs w:val="21"/>
          <w:highlight w:val="none"/>
        </w:rPr>
        <w:t>求</w:t>
      </w:r>
      <w:r>
        <w:rPr>
          <w:rFonts w:ascii="宋体" w:hAnsi="宋体" w:cs="宋体"/>
          <w:color w:val="auto"/>
          <w:spacing w:val="-3"/>
          <w:sz w:val="21"/>
          <w:szCs w:val="21"/>
          <w:highlight w:val="none"/>
        </w:rPr>
        <w:t>/</w:t>
      </w:r>
      <w:r>
        <w:rPr>
          <w:rFonts w:ascii="宋体" w:hAnsi="宋体"/>
          <w:color w:val="auto"/>
          <w:sz w:val="21"/>
          <w:szCs w:val="21"/>
          <w:highlight w:val="none"/>
        </w:rPr>
        <w:t>不要</w:t>
      </w:r>
      <w:r>
        <w:rPr>
          <w:rFonts w:ascii="宋体" w:hAnsi="宋体"/>
          <w:color w:val="auto"/>
          <w:spacing w:val="-3"/>
          <w:sz w:val="21"/>
          <w:szCs w:val="21"/>
          <w:highlight w:val="none"/>
        </w:rPr>
        <w:t>求</w:t>
      </w:r>
      <w:r>
        <w:rPr>
          <w:rFonts w:ascii="宋体" w:hAnsi="宋体"/>
          <w:color w:val="auto"/>
          <w:sz w:val="21"/>
          <w:szCs w:val="21"/>
          <w:highlight w:val="none"/>
        </w:rPr>
        <w:t>）</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人履</w:t>
      </w:r>
      <w:r>
        <w:rPr>
          <w:rFonts w:ascii="宋体" w:hAnsi="宋体"/>
          <w:color w:val="auto"/>
          <w:spacing w:val="-3"/>
          <w:sz w:val="21"/>
          <w:szCs w:val="21"/>
          <w:highlight w:val="none"/>
        </w:rPr>
        <w:t>约</w:t>
      </w:r>
      <w:r>
        <w:rPr>
          <w:rFonts w:ascii="宋体" w:hAnsi="宋体"/>
          <w:color w:val="auto"/>
          <w:sz w:val="21"/>
          <w:szCs w:val="21"/>
          <w:highlight w:val="none"/>
        </w:rPr>
        <w:t>担</w:t>
      </w:r>
      <w:r>
        <w:rPr>
          <w:rFonts w:ascii="宋体" w:hAnsi="宋体"/>
          <w:color w:val="auto"/>
          <w:spacing w:val="-3"/>
          <w:sz w:val="21"/>
          <w:szCs w:val="21"/>
          <w:highlight w:val="none"/>
        </w:rPr>
        <w:t>保</w:t>
      </w:r>
      <w:r>
        <w:rPr>
          <w:rFonts w:ascii="宋体" w:hAnsi="宋体"/>
          <w:color w:val="auto"/>
          <w:sz w:val="21"/>
          <w:szCs w:val="21"/>
          <w:highlight w:val="none"/>
        </w:rPr>
        <w:t>。</w:t>
      </w:r>
    </w:p>
    <w:p>
      <w:pPr>
        <w:adjustRightInd/>
        <w:spacing w:line="100" w:lineRule="exact"/>
        <w:ind w:firstLine="0" w:firstLineChars="0"/>
        <w:textAlignment w:val="auto"/>
        <w:rPr>
          <w:rFonts w:ascii="Calibri" w:hAnsi="Calibri"/>
          <w:color w:val="auto"/>
          <w:sz w:val="10"/>
          <w:szCs w:val="10"/>
          <w:highlight w:val="none"/>
        </w:rPr>
      </w:pPr>
    </w:p>
    <w:p>
      <w:pPr>
        <w:adjustRightInd/>
        <w:spacing w:line="200" w:lineRule="exact"/>
        <w:ind w:firstLine="0" w:firstLineChars="0"/>
        <w:textAlignment w:val="auto"/>
        <w:rPr>
          <w:rFonts w:ascii="Calibri" w:hAnsi="Calibri"/>
          <w:color w:val="auto"/>
          <w:sz w:val="20"/>
          <w:highlight w:val="none"/>
        </w:rPr>
      </w:pPr>
    </w:p>
    <w:p>
      <w:pPr>
        <w:adjustRightInd/>
        <w:spacing w:before="1"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pict>
          <v:group id="Group 439" o:spid="_x0000_s1028" o:spt="203" style="position:absolute;left:0pt;margin-left:226.5pt;margin-top:15.8pt;height:0.1pt;width:267.65pt;mso-position-horizontal-relative:page;z-index:-251644928;mso-width-relative:page;mso-height-relative:page;" coordorigin="4530,316" coordsize="5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">
            <o:lock v:ext="edit"/>
            <v:shape id="Freeform 440" o:spid="_x0000_s1029" style="position:absolute;left:4530;top:316;height:2;width:5353;" filled="f" coordsize="5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X7MUA&#10;AADcAAAADwAAAGRycy9kb3ducmV2LnhtbESPQWvCQBSE7wX/w/KE3ppNxJSSugYVWoKUglF6fmRf&#10;k9Ts25Ddxvjvu4LQ4zAz3zCrfDKdGGlwrWUFSRSDIK6sbrlWcDq+Pb2AcB5ZY2eZFFzJQb6ePaww&#10;0/bCBxpLX4sAYZehgsb7PpPSVQ0ZdJHtiYP3bQeDPsihlnrAS4CbTi7i+FkabDksNNjTrqHqXP4a&#10;BV/bn7Ss5H5/uBbJx+eWlu8JFko9zqfNKwhPk/8P39uFVpCmS7idC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B9fsxQAAANwAAAAPAAAAAAAAAAAAAAAAAJgCAABkcnMv&#10;ZG93bnJldi54bWxQSwUGAAAAAAQABAD1AAAAigMAAAAA&#10;" path="m0,0l5353,0e">
              <v:path arrowok="t" o:connecttype="custom" o:connectlocs="0,0;5353,0" o:connectangles="0,0"/>
              <v:fill on="f" focussize="0,0"/>
              <v:stroke weight="0.7pt"/>
              <v:imagedata o:title=""/>
              <o:lock v:ext="edit"/>
            </v:shape>
          </v:group>
        </w:pict>
      </w: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履</w:t>
      </w:r>
      <w:r>
        <w:rPr>
          <w:rFonts w:ascii="宋体" w:hAnsi="宋体"/>
          <w:color w:val="auto"/>
          <w:spacing w:val="-3"/>
          <w:sz w:val="21"/>
          <w:szCs w:val="21"/>
          <w:highlight w:val="none"/>
        </w:rPr>
        <w:t>约</w:t>
      </w:r>
      <w:r>
        <w:rPr>
          <w:rFonts w:ascii="宋体" w:hAnsi="宋体"/>
          <w:color w:val="auto"/>
          <w:sz w:val="21"/>
          <w:szCs w:val="21"/>
          <w:highlight w:val="none"/>
        </w:rPr>
        <w:t>担</w:t>
      </w:r>
      <w:r>
        <w:rPr>
          <w:rFonts w:ascii="宋体" w:hAnsi="宋体"/>
          <w:color w:val="auto"/>
          <w:spacing w:val="-3"/>
          <w:sz w:val="21"/>
          <w:szCs w:val="21"/>
          <w:highlight w:val="none"/>
        </w:rPr>
        <w:t>保</w:t>
      </w:r>
      <w:r>
        <w:rPr>
          <w:rFonts w:ascii="宋体" w:hAnsi="宋体"/>
          <w:color w:val="auto"/>
          <w:sz w:val="21"/>
          <w:szCs w:val="21"/>
          <w:highlight w:val="none"/>
        </w:rPr>
        <w:t>的</w:t>
      </w:r>
      <w:r>
        <w:rPr>
          <w:rFonts w:ascii="宋体" w:hAnsi="宋体"/>
          <w:color w:val="auto"/>
          <w:spacing w:val="-3"/>
          <w:sz w:val="21"/>
          <w:szCs w:val="21"/>
          <w:highlight w:val="none"/>
        </w:rPr>
        <w:t>金</w:t>
      </w:r>
      <w:r>
        <w:rPr>
          <w:rFonts w:ascii="宋体" w:hAnsi="宋体"/>
          <w:color w:val="auto"/>
          <w:sz w:val="21"/>
          <w:szCs w:val="21"/>
          <w:highlight w:val="none"/>
        </w:rPr>
        <w:t>额为</w:t>
      </w:r>
      <w:r>
        <w:rPr>
          <w:rFonts w:hint="eastAsia" w:ascii="宋体" w:hAnsi="宋体"/>
          <w:color w:val="auto"/>
          <w:sz w:val="21"/>
          <w:szCs w:val="21"/>
          <w:highlight w:val="none"/>
        </w:rPr>
        <w:t>/</w:t>
      </w:r>
    </w:p>
    <w:p>
      <w:pPr>
        <w:adjustRightInd/>
        <w:spacing w:before="1"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70" w:name="_bookmark111"/>
      <w:bookmarkEnd w:id="770"/>
      <w:r>
        <w:rPr>
          <w:rFonts w:ascii="宋体" w:hAnsi="宋体" w:cs="宋体"/>
          <w:color w:val="auto"/>
          <w:szCs w:val="24"/>
          <w:highlight w:val="none"/>
        </w:rPr>
        <w:t>4.11</w:t>
      </w:r>
      <w:r>
        <w:rPr>
          <w:rFonts w:ascii="宋体" w:hAnsi="宋体" w:cs="宋体"/>
          <w:color w:val="auto"/>
          <w:szCs w:val="24"/>
          <w:highlight w:val="none"/>
        </w:rPr>
        <w:tab/>
      </w:r>
      <w:r>
        <w:rPr>
          <w:rFonts w:ascii="宋体" w:hAnsi="宋体" w:cs="宋体"/>
          <w:color w:val="auto"/>
          <w:szCs w:val="24"/>
          <w:highlight w:val="none"/>
        </w:rPr>
        <w:t>不利物质条件</w:t>
      </w:r>
    </w:p>
    <w:p>
      <w:pPr>
        <w:adjustRightInd/>
        <w:spacing w:before="5" w:line="240" w:lineRule="exact"/>
        <w:ind w:firstLine="0" w:firstLineChars="0"/>
        <w:textAlignment w:val="auto"/>
        <w:rPr>
          <w:rFonts w:ascii="Calibri" w:hAnsi="Calibri"/>
          <w:color w:val="auto"/>
          <w:szCs w:val="24"/>
          <w:highlight w:val="none"/>
        </w:rPr>
      </w:pPr>
    </w:p>
    <w:p>
      <w:pPr>
        <w:tabs>
          <w:tab w:val="left" w:pos="1420"/>
          <w:tab w:val="left" w:pos="847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4.11.1</w:t>
      </w:r>
      <w:r>
        <w:rPr>
          <w:rFonts w:ascii="宋体" w:hAnsi="宋体" w:cs="宋体"/>
          <w:color w:val="auto"/>
          <w:sz w:val="21"/>
          <w:szCs w:val="21"/>
          <w:highlight w:val="none"/>
        </w:rPr>
        <w:tab/>
      </w:r>
      <w:r>
        <w:rPr>
          <w:rFonts w:ascii="宋体" w:hAnsi="宋体"/>
          <w:color w:val="auto"/>
          <w:spacing w:val="-3"/>
          <w:sz w:val="21"/>
          <w:szCs w:val="21"/>
          <w:highlight w:val="none"/>
        </w:rPr>
        <w:t>不</w:t>
      </w:r>
      <w:r>
        <w:rPr>
          <w:rFonts w:ascii="宋体" w:hAnsi="宋体"/>
          <w:color w:val="auto"/>
          <w:sz w:val="21"/>
          <w:szCs w:val="21"/>
          <w:highlight w:val="none"/>
        </w:rPr>
        <w:t>利</w:t>
      </w:r>
      <w:r>
        <w:rPr>
          <w:rFonts w:ascii="宋体" w:hAnsi="宋体"/>
          <w:color w:val="auto"/>
          <w:spacing w:val="-3"/>
          <w:sz w:val="21"/>
          <w:szCs w:val="21"/>
          <w:highlight w:val="none"/>
        </w:rPr>
        <w:t>物</w:t>
      </w:r>
      <w:r>
        <w:rPr>
          <w:rFonts w:ascii="宋体" w:hAnsi="宋体"/>
          <w:color w:val="auto"/>
          <w:sz w:val="21"/>
          <w:szCs w:val="21"/>
          <w:highlight w:val="none"/>
        </w:rPr>
        <w:t>质</w:t>
      </w:r>
      <w:r>
        <w:rPr>
          <w:rFonts w:ascii="宋体" w:hAnsi="宋体"/>
          <w:color w:val="auto"/>
          <w:spacing w:val="-3"/>
          <w:sz w:val="21"/>
          <w:szCs w:val="21"/>
          <w:highlight w:val="none"/>
        </w:rPr>
        <w:t>条</w:t>
      </w:r>
      <w:r>
        <w:rPr>
          <w:rFonts w:ascii="宋体" w:hAnsi="宋体"/>
          <w:color w:val="auto"/>
          <w:sz w:val="21"/>
          <w:szCs w:val="21"/>
          <w:highlight w:val="none"/>
        </w:rPr>
        <w:t>件</w:t>
      </w:r>
      <w:r>
        <w:rPr>
          <w:rFonts w:ascii="宋体" w:hAnsi="宋体"/>
          <w:color w:val="auto"/>
          <w:spacing w:val="-3"/>
          <w:sz w:val="21"/>
          <w:szCs w:val="21"/>
          <w:highlight w:val="none"/>
        </w:rPr>
        <w:t>的</w:t>
      </w:r>
      <w:r>
        <w:rPr>
          <w:rFonts w:ascii="宋体" w:hAnsi="宋体"/>
          <w:color w:val="auto"/>
          <w:sz w:val="21"/>
          <w:szCs w:val="21"/>
          <w:highlight w:val="none"/>
        </w:rPr>
        <w:t>范围</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按通用条款执行  </w:t>
      </w:r>
      <w:r>
        <w:rPr>
          <w:rFonts w:ascii="宋体" w:hAnsi="宋体"/>
          <w:color w:val="auto"/>
          <w:sz w:val="21"/>
          <w:szCs w:val="21"/>
          <w:highlight w:val="none"/>
          <w:u w:val="single" w:color="000000"/>
        </w:rPr>
        <w:tab/>
      </w:r>
    </w:p>
    <w:p>
      <w:pPr>
        <w:adjustRightInd/>
        <w:spacing w:line="200" w:lineRule="exact"/>
        <w:ind w:firstLine="0" w:firstLineChars="0"/>
        <w:textAlignment w:val="auto"/>
        <w:rPr>
          <w:rFonts w:ascii="Calibri" w:hAnsi="Calibri"/>
          <w:color w:val="auto"/>
          <w:sz w:val="20"/>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71" w:name="_bookmark112"/>
      <w:bookmarkEnd w:id="771"/>
      <w:r>
        <w:rPr>
          <w:rFonts w:ascii="宋体" w:hAnsi="宋体" w:cs="宋体"/>
          <w:color w:val="auto"/>
          <w:spacing w:val="1"/>
          <w:sz w:val="28"/>
          <w:szCs w:val="28"/>
          <w:highlight w:val="none"/>
        </w:rPr>
        <w:t>5</w:t>
      </w:r>
      <w:r>
        <w:rPr>
          <w:rFonts w:ascii="宋体" w:hAnsi="宋体" w:cs="宋体"/>
          <w:color w:val="auto"/>
          <w:spacing w:val="-2"/>
          <w:sz w:val="28"/>
          <w:szCs w:val="28"/>
          <w:highlight w:val="none"/>
        </w:rPr>
        <w:t>.</w:t>
      </w:r>
      <w:r>
        <w:rPr>
          <w:rFonts w:ascii="宋体" w:hAnsi="宋体" w:cs="宋体"/>
          <w:color w:val="auto"/>
          <w:sz w:val="28"/>
          <w:szCs w:val="28"/>
          <w:highlight w:val="none"/>
        </w:rPr>
        <w:t>材料</w:t>
      </w:r>
      <w:r>
        <w:rPr>
          <w:rFonts w:ascii="宋体" w:hAnsi="宋体" w:cs="宋体"/>
          <w:color w:val="auto"/>
          <w:spacing w:val="-3"/>
          <w:sz w:val="28"/>
          <w:szCs w:val="28"/>
          <w:highlight w:val="none"/>
        </w:rPr>
        <w:t>和</w:t>
      </w:r>
      <w:r>
        <w:rPr>
          <w:rFonts w:ascii="宋体" w:hAnsi="宋体" w:cs="宋体"/>
          <w:color w:val="auto"/>
          <w:sz w:val="28"/>
          <w:szCs w:val="28"/>
          <w:highlight w:val="none"/>
        </w:rPr>
        <w:t>工程</w:t>
      </w:r>
      <w:r>
        <w:rPr>
          <w:rFonts w:ascii="宋体" w:hAnsi="宋体" w:cs="宋体"/>
          <w:color w:val="auto"/>
          <w:spacing w:val="-3"/>
          <w:sz w:val="28"/>
          <w:szCs w:val="28"/>
          <w:highlight w:val="none"/>
        </w:rPr>
        <w:t>设</w:t>
      </w:r>
      <w:r>
        <w:rPr>
          <w:rFonts w:ascii="宋体" w:hAnsi="宋体" w:cs="宋体"/>
          <w:color w:val="auto"/>
          <w:sz w:val="28"/>
          <w:szCs w:val="28"/>
          <w:highlight w:val="none"/>
        </w:rPr>
        <w:t>备</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72" w:name="_bookmark113"/>
      <w:bookmarkEnd w:id="772"/>
      <w:r>
        <w:rPr>
          <w:rFonts w:ascii="宋体" w:hAnsi="宋体" w:cs="宋体"/>
          <w:color w:val="auto"/>
          <w:szCs w:val="24"/>
          <w:highlight w:val="none"/>
        </w:rPr>
        <w:t>5.1</w:t>
      </w:r>
      <w:r>
        <w:rPr>
          <w:rFonts w:ascii="宋体" w:hAnsi="宋体" w:cs="宋体"/>
          <w:color w:val="auto"/>
          <w:szCs w:val="24"/>
          <w:highlight w:val="none"/>
        </w:rPr>
        <w:tab/>
      </w:r>
      <w:r>
        <w:rPr>
          <w:rFonts w:ascii="宋体" w:hAnsi="宋体" w:cs="宋体"/>
          <w:color w:val="auto"/>
          <w:szCs w:val="24"/>
          <w:highlight w:val="none"/>
        </w:rPr>
        <w:t>承包人提供的材料和工程设备</w:t>
      </w:r>
    </w:p>
    <w:p>
      <w:pPr>
        <w:adjustRightInd/>
        <w:spacing w:before="5" w:line="240" w:lineRule="exact"/>
        <w:ind w:firstLine="0" w:firstLineChars="0"/>
        <w:textAlignment w:val="auto"/>
        <w:rPr>
          <w:rFonts w:ascii="Calibri" w:hAnsi="Calibri"/>
          <w:color w:val="auto"/>
          <w:szCs w:val="24"/>
          <w:highlight w:val="none"/>
        </w:rPr>
      </w:pPr>
    </w:p>
    <w:p>
      <w:pPr>
        <w:tabs>
          <w:tab w:val="left" w:pos="8242"/>
        </w:tabs>
        <w:adjustRightInd/>
        <w:spacing w:line="316" w:lineRule="auto"/>
        <w:ind w:left="158" w:right="211" w:firstLine="419" w:firstLineChars="0"/>
        <w:textAlignment w:val="auto"/>
        <w:rPr>
          <w:rFonts w:ascii="宋体" w:hAnsi="宋体"/>
          <w:color w:val="auto"/>
          <w:sz w:val="21"/>
          <w:szCs w:val="21"/>
          <w:highlight w:val="none"/>
        </w:rPr>
      </w:pPr>
      <w:r>
        <w:rPr>
          <w:rFonts w:ascii="宋体" w:hAnsi="宋体" w:cs="宋体"/>
          <w:color w:val="auto"/>
          <w:sz w:val="21"/>
          <w:szCs w:val="21"/>
          <w:highlight w:val="none"/>
        </w:rPr>
        <w:t>5.1.2</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将</w:t>
      </w:r>
      <w:r>
        <w:rPr>
          <w:rFonts w:ascii="宋体" w:hAnsi="宋体"/>
          <w:color w:val="auto"/>
          <w:sz w:val="21"/>
          <w:szCs w:val="21"/>
          <w:highlight w:val="none"/>
        </w:rPr>
        <w:t>由</w:t>
      </w:r>
      <w:r>
        <w:rPr>
          <w:rFonts w:ascii="宋体" w:hAnsi="宋体"/>
          <w:color w:val="auto"/>
          <w:spacing w:val="-3"/>
          <w:sz w:val="21"/>
          <w:szCs w:val="21"/>
          <w:highlight w:val="none"/>
        </w:rPr>
        <w:t>其</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的材</w:t>
      </w:r>
      <w:r>
        <w:rPr>
          <w:rFonts w:ascii="宋体" w:hAnsi="宋体"/>
          <w:color w:val="auto"/>
          <w:spacing w:val="-3"/>
          <w:sz w:val="21"/>
          <w:szCs w:val="21"/>
          <w:highlight w:val="none"/>
        </w:rPr>
        <w:t>料</w:t>
      </w:r>
      <w:r>
        <w:rPr>
          <w:rFonts w:ascii="宋体" w:hAnsi="宋体"/>
          <w:color w:val="auto"/>
          <w:sz w:val="21"/>
          <w:szCs w:val="21"/>
          <w:highlight w:val="none"/>
        </w:rPr>
        <w:t>和</w:t>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的</w:t>
      </w:r>
      <w:r>
        <w:rPr>
          <w:rFonts w:ascii="宋体" w:hAnsi="宋体"/>
          <w:color w:val="auto"/>
          <w:sz w:val="21"/>
          <w:szCs w:val="21"/>
          <w:highlight w:val="none"/>
        </w:rPr>
        <w:t>供</w:t>
      </w:r>
      <w:r>
        <w:rPr>
          <w:rFonts w:ascii="宋体" w:hAnsi="宋体"/>
          <w:color w:val="auto"/>
          <w:spacing w:val="-3"/>
          <w:sz w:val="21"/>
          <w:szCs w:val="21"/>
          <w:highlight w:val="none"/>
        </w:rPr>
        <w:t>货</w:t>
      </w:r>
      <w:r>
        <w:rPr>
          <w:rFonts w:ascii="宋体" w:hAnsi="宋体"/>
          <w:color w:val="auto"/>
          <w:sz w:val="21"/>
          <w:szCs w:val="21"/>
          <w:highlight w:val="none"/>
        </w:rPr>
        <w:t>人和</w:t>
      </w:r>
      <w:r>
        <w:rPr>
          <w:rFonts w:ascii="宋体" w:hAnsi="宋体"/>
          <w:color w:val="auto"/>
          <w:spacing w:val="-3"/>
          <w:sz w:val="21"/>
          <w:szCs w:val="21"/>
          <w:highlight w:val="none"/>
        </w:rPr>
        <w:t>品种</w:t>
      </w:r>
      <w:r>
        <w:rPr>
          <w:rFonts w:ascii="宋体" w:hAnsi="宋体"/>
          <w:color w:val="auto"/>
          <w:spacing w:val="-44"/>
          <w:sz w:val="21"/>
          <w:szCs w:val="21"/>
          <w:highlight w:val="none"/>
        </w:rPr>
        <w:t>、</w:t>
      </w:r>
      <w:r>
        <w:rPr>
          <w:rFonts w:ascii="宋体" w:hAnsi="宋体"/>
          <w:color w:val="auto"/>
          <w:spacing w:val="-3"/>
          <w:sz w:val="21"/>
          <w:szCs w:val="21"/>
          <w:highlight w:val="none"/>
        </w:rPr>
        <w:t>规格</w:t>
      </w:r>
      <w:r>
        <w:rPr>
          <w:rFonts w:ascii="宋体" w:hAnsi="宋体"/>
          <w:color w:val="auto"/>
          <w:spacing w:val="-44"/>
          <w:sz w:val="21"/>
          <w:szCs w:val="21"/>
          <w:highlight w:val="none"/>
        </w:rPr>
        <w:t>、</w:t>
      </w:r>
      <w:r>
        <w:rPr>
          <w:rFonts w:ascii="宋体" w:hAnsi="宋体"/>
          <w:color w:val="auto"/>
          <w:spacing w:val="-3"/>
          <w:sz w:val="21"/>
          <w:szCs w:val="21"/>
          <w:highlight w:val="none"/>
        </w:rPr>
        <w:t>数</w:t>
      </w:r>
      <w:r>
        <w:rPr>
          <w:rFonts w:ascii="宋体" w:hAnsi="宋体"/>
          <w:color w:val="auto"/>
          <w:sz w:val="21"/>
          <w:szCs w:val="21"/>
          <w:highlight w:val="none"/>
        </w:rPr>
        <w:t>量</w:t>
      </w:r>
      <w:r>
        <w:rPr>
          <w:rFonts w:ascii="宋体" w:hAnsi="宋体"/>
          <w:color w:val="auto"/>
          <w:spacing w:val="-3"/>
          <w:sz w:val="21"/>
          <w:szCs w:val="21"/>
          <w:highlight w:val="none"/>
        </w:rPr>
        <w:t>及供</w:t>
      </w:r>
      <w:r>
        <w:rPr>
          <w:rFonts w:ascii="宋体" w:hAnsi="宋体"/>
          <w:color w:val="auto"/>
          <w:sz w:val="21"/>
          <w:szCs w:val="21"/>
          <w:highlight w:val="none"/>
        </w:rPr>
        <w:t>货时</w:t>
      </w:r>
      <w:r>
        <w:rPr>
          <w:rFonts w:ascii="宋体" w:hAnsi="宋体"/>
          <w:color w:val="auto"/>
          <w:spacing w:val="-3"/>
          <w:sz w:val="21"/>
          <w:szCs w:val="21"/>
          <w:highlight w:val="none"/>
        </w:rPr>
        <w:t>间</w:t>
      </w:r>
      <w:r>
        <w:rPr>
          <w:rFonts w:ascii="宋体" w:hAnsi="宋体"/>
          <w:color w:val="auto"/>
          <w:sz w:val="21"/>
          <w:szCs w:val="21"/>
          <w:highlight w:val="none"/>
        </w:rPr>
        <w:t>等 报送</w:t>
      </w:r>
      <w:r>
        <w:rPr>
          <w:rFonts w:ascii="宋体" w:hAnsi="宋体"/>
          <w:color w:val="auto"/>
          <w:spacing w:val="-3"/>
          <w:sz w:val="21"/>
          <w:szCs w:val="21"/>
          <w:highlight w:val="none"/>
        </w:rPr>
        <w:t>监</w:t>
      </w:r>
      <w:r>
        <w:rPr>
          <w:rFonts w:ascii="宋体" w:hAnsi="宋体"/>
          <w:color w:val="auto"/>
          <w:sz w:val="21"/>
          <w:szCs w:val="21"/>
          <w:highlight w:val="none"/>
        </w:rPr>
        <w:t>理</w:t>
      </w:r>
      <w:r>
        <w:rPr>
          <w:rFonts w:ascii="宋体" w:hAnsi="宋体"/>
          <w:color w:val="auto"/>
          <w:spacing w:val="-3"/>
          <w:sz w:val="21"/>
          <w:szCs w:val="21"/>
          <w:highlight w:val="none"/>
        </w:rPr>
        <w:t>人</w:t>
      </w:r>
      <w:r>
        <w:rPr>
          <w:rFonts w:ascii="宋体" w:hAnsi="宋体"/>
          <w:color w:val="auto"/>
          <w:sz w:val="21"/>
          <w:szCs w:val="21"/>
          <w:highlight w:val="none"/>
        </w:rPr>
        <w:t>审</w:t>
      </w:r>
      <w:r>
        <w:rPr>
          <w:rFonts w:ascii="宋体" w:hAnsi="宋体"/>
          <w:color w:val="auto"/>
          <w:spacing w:val="-3"/>
          <w:sz w:val="21"/>
          <w:szCs w:val="21"/>
          <w:highlight w:val="none"/>
        </w:rPr>
        <w:t>批</w:t>
      </w:r>
      <w:r>
        <w:rPr>
          <w:rFonts w:ascii="宋体" w:hAnsi="宋体"/>
          <w:color w:val="auto"/>
          <w:sz w:val="21"/>
          <w:szCs w:val="21"/>
          <w:highlight w:val="none"/>
        </w:rPr>
        <w:t>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材料、设备进场前10天       </w:t>
      </w:r>
      <w:r>
        <w:rPr>
          <w:rFonts w:ascii="宋体" w:hAnsi="宋体"/>
          <w:color w:val="auto"/>
          <w:sz w:val="21"/>
          <w:szCs w:val="21"/>
          <w:highlight w:val="none"/>
          <w:u w:val="single" w:color="000000"/>
        </w:rPr>
        <w:tab/>
      </w:r>
    </w:p>
    <w:p>
      <w:pPr>
        <w:adjustRightInd/>
        <w:spacing w:before="8" w:line="150" w:lineRule="exact"/>
        <w:ind w:firstLine="0" w:firstLineChars="0"/>
        <w:textAlignment w:val="auto"/>
        <w:rPr>
          <w:rFonts w:ascii="Calibri" w:hAnsi="Calibri"/>
          <w:color w:val="auto"/>
          <w:sz w:val="15"/>
          <w:szCs w:val="15"/>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73" w:name="_bookmark114"/>
      <w:bookmarkEnd w:id="773"/>
      <w:r>
        <w:rPr>
          <w:rFonts w:ascii="宋体" w:hAnsi="宋体" w:cs="宋体"/>
          <w:color w:val="auto"/>
          <w:spacing w:val="1"/>
          <w:sz w:val="28"/>
          <w:szCs w:val="28"/>
          <w:highlight w:val="none"/>
        </w:rPr>
        <w:t>6</w:t>
      </w:r>
      <w:r>
        <w:rPr>
          <w:rFonts w:ascii="宋体" w:hAnsi="宋体" w:cs="宋体"/>
          <w:color w:val="auto"/>
          <w:spacing w:val="-2"/>
          <w:sz w:val="28"/>
          <w:szCs w:val="28"/>
          <w:highlight w:val="none"/>
        </w:rPr>
        <w:t>.</w:t>
      </w:r>
      <w:r>
        <w:rPr>
          <w:rFonts w:ascii="宋体" w:hAnsi="宋体" w:cs="宋体"/>
          <w:color w:val="auto"/>
          <w:sz w:val="28"/>
          <w:szCs w:val="28"/>
          <w:highlight w:val="none"/>
        </w:rPr>
        <w:t>施工</w:t>
      </w:r>
      <w:r>
        <w:rPr>
          <w:rFonts w:ascii="宋体" w:hAnsi="宋体" w:cs="宋体"/>
          <w:color w:val="auto"/>
          <w:spacing w:val="-3"/>
          <w:sz w:val="28"/>
          <w:szCs w:val="28"/>
          <w:highlight w:val="none"/>
        </w:rPr>
        <w:t>设</w:t>
      </w:r>
      <w:r>
        <w:rPr>
          <w:rFonts w:ascii="宋体" w:hAnsi="宋体" w:cs="宋体"/>
          <w:color w:val="auto"/>
          <w:sz w:val="28"/>
          <w:szCs w:val="28"/>
          <w:highlight w:val="none"/>
        </w:rPr>
        <w:t>备和</w:t>
      </w:r>
      <w:r>
        <w:rPr>
          <w:rFonts w:ascii="宋体" w:hAnsi="宋体" w:cs="宋体"/>
          <w:color w:val="auto"/>
          <w:spacing w:val="-3"/>
          <w:sz w:val="28"/>
          <w:szCs w:val="28"/>
          <w:highlight w:val="none"/>
        </w:rPr>
        <w:t>临时</w:t>
      </w:r>
      <w:r>
        <w:rPr>
          <w:rFonts w:ascii="宋体" w:hAnsi="宋体" w:cs="宋体"/>
          <w:color w:val="auto"/>
          <w:sz w:val="28"/>
          <w:szCs w:val="28"/>
          <w:highlight w:val="none"/>
        </w:rPr>
        <w:t>设施</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74" w:name="_bookmark115"/>
      <w:bookmarkEnd w:id="774"/>
      <w:r>
        <w:rPr>
          <w:rFonts w:ascii="宋体" w:hAnsi="宋体" w:cs="宋体"/>
          <w:color w:val="auto"/>
          <w:szCs w:val="24"/>
          <w:highlight w:val="none"/>
        </w:rPr>
        <w:t>6.1</w:t>
      </w:r>
      <w:r>
        <w:rPr>
          <w:rFonts w:ascii="宋体" w:hAnsi="宋体" w:cs="宋体"/>
          <w:color w:val="auto"/>
          <w:szCs w:val="24"/>
          <w:highlight w:val="none"/>
        </w:rPr>
        <w:tab/>
      </w:r>
      <w:r>
        <w:rPr>
          <w:rFonts w:ascii="宋体" w:hAnsi="宋体" w:cs="宋体"/>
          <w:color w:val="auto"/>
          <w:szCs w:val="24"/>
          <w:highlight w:val="none"/>
        </w:rPr>
        <w:t>承包人提供的施工设备和临时设施</w:t>
      </w:r>
    </w:p>
    <w:p>
      <w:pPr>
        <w:tabs>
          <w:tab w:val="left" w:pos="1314"/>
          <w:tab w:val="left" w:pos="8453"/>
        </w:tabs>
        <w:adjustRightInd/>
        <w:spacing w:line="316" w:lineRule="auto"/>
        <w:ind w:left="578" w:right="232"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6.1.2</w:t>
      </w:r>
      <w:r>
        <w:rPr>
          <w:rFonts w:ascii="宋体" w:hAnsi="宋体" w:cs="宋体"/>
          <w:color w:val="auto"/>
          <w:sz w:val="21"/>
          <w:szCs w:val="21"/>
          <w:highlight w:val="none"/>
        </w:rPr>
        <w:tab/>
      </w:r>
      <w:r>
        <w:rPr>
          <w:rFonts w:ascii="宋体" w:hAnsi="宋体"/>
          <w:color w:val="auto"/>
          <w:spacing w:val="-3"/>
          <w:sz w:val="21"/>
          <w:szCs w:val="21"/>
          <w:highlight w:val="none"/>
        </w:rPr>
        <w:t>发</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承</w:t>
      </w:r>
      <w:r>
        <w:rPr>
          <w:rFonts w:ascii="宋体" w:hAnsi="宋体"/>
          <w:color w:val="auto"/>
          <w:spacing w:val="-3"/>
          <w:sz w:val="21"/>
          <w:szCs w:val="21"/>
          <w:highlight w:val="none"/>
        </w:rPr>
        <w:t>担</w:t>
      </w:r>
      <w:r>
        <w:rPr>
          <w:rFonts w:ascii="宋体" w:hAnsi="宋体"/>
          <w:color w:val="auto"/>
          <w:sz w:val="21"/>
          <w:szCs w:val="21"/>
          <w:highlight w:val="none"/>
        </w:rPr>
        <w:t>自</w:t>
      </w:r>
      <w:r>
        <w:rPr>
          <w:rFonts w:ascii="宋体" w:hAnsi="宋体"/>
          <w:color w:val="auto"/>
          <w:spacing w:val="-3"/>
          <w:sz w:val="21"/>
          <w:szCs w:val="21"/>
          <w:highlight w:val="none"/>
        </w:rPr>
        <w:t>行修</w:t>
      </w:r>
      <w:r>
        <w:rPr>
          <w:rFonts w:ascii="宋体" w:hAnsi="宋体"/>
          <w:color w:val="auto"/>
          <w:sz w:val="21"/>
          <w:szCs w:val="21"/>
          <w:highlight w:val="none"/>
        </w:rPr>
        <w:t>建临</w:t>
      </w:r>
      <w:r>
        <w:rPr>
          <w:rFonts w:ascii="宋体" w:hAnsi="宋体"/>
          <w:color w:val="auto"/>
          <w:spacing w:val="-3"/>
          <w:sz w:val="21"/>
          <w:szCs w:val="21"/>
          <w:highlight w:val="none"/>
        </w:rPr>
        <w:t>时</w:t>
      </w:r>
      <w:r>
        <w:rPr>
          <w:rFonts w:ascii="宋体" w:hAnsi="宋体"/>
          <w:color w:val="auto"/>
          <w:sz w:val="21"/>
          <w:szCs w:val="21"/>
          <w:highlight w:val="none"/>
        </w:rPr>
        <w:t>设</w:t>
      </w:r>
      <w:r>
        <w:rPr>
          <w:rFonts w:ascii="宋体" w:hAnsi="宋体"/>
          <w:color w:val="auto"/>
          <w:spacing w:val="-3"/>
          <w:sz w:val="21"/>
          <w:szCs w:val="21"/>
          <w:highlight w:val="none"/>
        </w:rPr>
        <w:t>施</w:t>
      </w:r>
      <w:r>
        <w:rPr>
          <w:rFonts w:ascii="宋体" w:hAnsi="宋体"/>
          <w:color w:val="auto"/>
          <w:sz w:val="21"/>
          <w:szCs w:val="21"/>
          <w:highlight w:val="none"/>
        </w:rPr>
        <w:t>费</w:t>
      </w:r>
      <w:r>
        <w:rPr>
          <w:rFonts w:ascii="宋体" w:hAnsi="宋体"/>
          <w:color w:val="auto"/>
          <w:spacing w:val="-3"/>
          <w:sz w:val="21"/>
          <w:szCs w:val="21"/>
          <w:highlight w:val="none"/>
        </w:rPr>
        <w:t>用</w:t>
      </w:r>
      <w:r>
        <w:rPr>
          <w:rFonts w:ascii="宋体" w:hAnsi="宋体"/>
          <w:color w:val="auto"/>
          <w:sz w:val="21"/>
          <w:szCs w:val="21"/>
          <w:highlight w:val="none"/>
        </w:rPr>
        <w:t>的</w:t>
      </w:r>
      <w:r>
        <w:rPr>
          <w:rFonts w:ascii="宋体" w:hAnsi="宋体"/>
          <w:color w:val="auto"/>
          <w:spacing w:val="-3"/>
          <w:sz w:val="21"/>
          <w:szCs w:val="21"/>
          <w:highlight w:val="none"/>
        </w:rPr>
        <w:t>范</w:t>
      </w:r>
      <w:r>
        <w:rPr>
          <w:rFonts w:ascii="宋体" w:hAnsi="宋体"/>
          <w:color w:val="auto"/>
          <w:sz w:val="21"/>
          <w:szCs w:val="21"/>
          <w:highlight w:val="none"/>
        </w:rPr>
        <w:t>围</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   无</w:t>
      </w:r>
      <w:r>
        <w:rPr>
          <w:rFonts w:ascii="宋体" w:hAnsi="宋体"/>
          <w:color w:val="auto"/>
          <w:sz w:val="21"/>
          <w:szCs w:val="21"/>
          <w:highlight w:val="none"/>
          <w:u w:val="single" w:color="000000"/>
        </w:rPr>
        <w:tab/>
      </w:r>
    </w:p>
    <w:p>
      <w:pPr>
        <w:tabs>
          <w:tab w:val="left" w:pos="1314"/>
          <w:tab w:val="left" w:pos="8453"/>
        </w:tabs>
        <w:adjustRightInd/>
        <w:spacing w:line="316" w:lineRule="auto"/>
        <w:ind w:left="578" w:right="232"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办</w:t>
      </w:r>
      <w:r>
        <w:rPr>
          <w:rFonts w:ascii="宋体" w:hAnsi="宋体"/>
          <w:color w:val="auto"/>
          <w:spacing w:val="-3"/>
          <w:sz w:val="21"/>
          <w:szCs w:val="21"/>
          <w:highlight w:val="none"/>
        </w:rPr>
        <w:t>理</w:t>
      </w:r>
      <w:r>
        <w:rPr>
          <w:rFonts w:ascii="宋体" w:hAnsi="宋体"/>
          <w:color w:val="auto"/>
          <w:sz w:val="21"/>
          <w:szCs w:val="21"/>
          <w:highlight w:val="none"/>
        </w:rPr>
        <w:t>申</w:t>
      </w:r>
      <w:r>
        <w:rPr>
          <w:rFonts w:ascii="宋体" w:hAnsi="宋体"/>
          <w:color w:val="auto"/>
          <w:spacing w:val="-3"/>
          <w:sz w:val="21"/>
          <w:szCs w:val="21"/>
          <w:highlight w:val="none"/>
        </w:rPr>
        <w:t>请</w:t>
      </w:r>
      <w:r>
        <w:rPr>
          <w:rFonts w:ascii="宋体" w:hAnsi="宋体"/>
          <w:color w:val="auto"/>
          <w:sz w:val="21"/>
          <w:szCs w:val="21"/>
          <w:highlight w:val="none"/>
        </w:rPr>
        <w:t>手</w:t>
      </w:r>
      <w:r>
        <w:rPr>
          <w:rFonts w:ascii="宋体" w:hAnsi="宋体"/>
          <w:color w:val="auto"/>
          <w:spacing w:val="-3"/>
          <w:sz w:val="21"/>
          <w:szCs w:val="21"/>
          <w:highlight w:val="none"/>
        </w:rPr>
        <w:t>续</w:t>
      </w:r>
      <w:r>
        <w:rPr>
          <w:rFonts w:ascii="宋体" w:hAnsi="宋体"/>
          <w:color w:val="auto"/>
          <w:sz w:val="21"/>
          <w:szCs w:val="21"/>
          <w:highlight w:val="none"/>
        </w:rPr>
        <w:t>并</w:t>
      </w:r>
      <w:r>
        <w:rPr>
          <w:rFonts w:ascii="宋体" w:hAnsi="宋体"/>
          <w:color w:val="auto"/>
          <w:spacing w:val="-3"/>
          <w:sz w:val="21"/>
          <w:szCs w:val="21"/>
          <w:highlight w:val="none"/>
        </w:rPr>
        <w:t>承</w:t>
      </w:r>
      <w:r>
        <w:rPr>
          <w:rFonts w:ascii="宋体" w:hAnsi="宋体"/>
          <w:color w:val="auto"/>
          <w:sz w:val="21"/>
          <w:szCs w:val="21"/>
          <w:highlight w:val="none"/>
        </w:rPr>
        <w:t>担相</w:t>
      </w:r>
      <w:r>
        <w:rPr>
          <w:rFonts w:ascii="宋体" w:hAnsi="宋体"/>
          <w:color w:val="auto"/>
          <w:spacing w:val="-3"/>
          <w:sz w:val="21"/>
          <w:szCs w:val="21"/>
          <w:highlight w:val="none"/>
        </w:rPr>
        <w:t>关</w:t>
      </w:r>
      <w:r>
        <w:rPr>
          <w:rFonts w:ascii="宋体" w:hAnsi="宋体"/>
          <w:color w:val="auto"/>
          <w:sz w:val="21"/>
          <w:szCs w:val="21"/>
          <w:highlight w:val="none"/>
        </w:rPr>
        <w:t>费</w:t>
      </w:r>
      <w:r>
        <w:rPr>
          <w:rFonts w:ascii="宋体" w:hAnsi="宋体"/>
          <w:color w:val="auto"/>
          <w:spacing w:val="-3"/>
          <w:sz w:val="21"/>
          <w:szCs w:val="21"/>
          <w:highlight w:val="none"/>
        </w:rPr>
        <w:t>用</w:t>
      </w:r>
      <w:r>
        <w:rPr>
          <w:rFonts w:ascii="宋体" w:hAnsi="宋体"/>
          <w:color w:val="auto"/>
          <w:sz w:val="21"/>
          <w:szCs w:val="21"/>
          <w:highlight w:val="none"/>
        </w:rPr>
        <w:t>的</w:t>
      </w:r>
      <w:r>
        <w:rPr>
          <w:rFonts w:ascii="宋体" w:hAnsi="宋体"/>
          <w:color w:val="auto"/>
          <w:spacing w:val="-3"/>
          <w:sz w:val="21"/>
          <w:szCs w:val="21"/>
          <w:highlight w:val="none"/>
        </w:rPr>
        <w:t>临</w:t>
      </w:r>
      <w:r>
        <w:rPr>
          <w:rFonts w:ascii="宋体" w:hAnsi="宋体"/>
          <w:color w:val="auto"/>
          <w:sz w:val="21"/>
          <w:szCs w:val="21"/>
          <w:highlight w:val="none"/>
        </w:rPr>
        <w:t>时</w:t>
      </w:r>
      <w:r>
        <w:rPr>
          <w:rFonts w:ascii="宋体" w:hAnsi="宋体"/>
          <w:color w:val="auto"/>
          <w:spacing w:val="-3"/>
          <w:sz w:val="21"/>
          <w:szCs w:val="21"/>
          <w:highlight w:val="none"/>
        </w:rPr>
        <w:t>占</w:t>
      </w:r>
      <w:r>
        <w:rPr>
          <w:rFonts w:ascii="宋体" w:hAnsi="宋体"/>
          <w:color w:val="auto"/>
          <w:sz w:val="21"/>
          <w:szCs w:val="21"/>
          <w:highlight w:val="none"/>
        </w:rPr>
        <w:t>地</w:t>
      </w:r>
      <w:r>
        <w:rPr>
          <w:rFonts w:ascii="宋体" w:hAnsi="宋体"/>
          <w:color w:val="auto"/>
          <w:spacing w:val="-2"/>
          <w:sz w:val="21"/>
          <w:szCs w:val="21"/>
          <w:highlight w:val="none"/>
        </w:rPr>
        <w:t>：</w:t>
      </w:r>
      <w:r>
        <w:rPr>
          <w:rFonts w:hint="eastAsia" w:ascii="宋体" w:hAnsi="宋体"/>
          <w:color w:val="auto"/>
          <w:sz w:val="21"/>
          <w:szCs w:val="21"/>
          <w:highlight w:val="none"/>
          <w:u w:val="single"/>
        </w:rPr>
        <w:t xml:space="preserve">   无</w:t>
      </w:r>
      <w:r>
        <w:rPr>
          <w:rFonts w:ascii="宋体" w:hAnsi="宋体"/>
          <w:color w:val="auto"/>
          <w:sz w:val="21"/>
          <w:szCs w:val="21"/>
          <w:highlight w:val="none"/>
          <w:u w:val="single" w:color="000000"/>
        </w:rPr>
        <w:tab/>
      </w:r>
    </w:p>
    <w:p>
      <w:pPr>
        <w:adjustRightInd/>
        <w:spacing w:before="2" w:line="160" w:lineRule="exact"/>
        <w:ind w:firstLine="0" w:firstLineChars="0"/>
        <w:textAlignment w:val="auto"/>
        <w:rPr>
          <w:rFonts w:ascii="Calibri" w:hAnsi="Calibri"/>
          <w:color w:val="auto"/>
          <w:sz w:val="16"/>
          <w:szCs w:val="16"/>
          <w:highlight w:val="none"/>
        </w:rPr>
      </w:pPr>
    </w:p>
    <w:p>
      <w:pPr>
        <w:tabs>
          <w:tab w:val="left" w:pos="757"/>
        </w:tabs>
        <w:adjustRightInd/>
        <w:spacing w:line="340" w:lineRule="exact"/>
        <w:ind w:left="158" w:firstLine="0" w:firstLineChars="0"/>
        <w:textAlignment w:val="auto"/>
        <w:rPr>
          <w:rFonts w:ascii="宋体" w:hAnsi="宋体" w:cs="宋体"/>
          <w:color w:val="auto"/>
          <w:szCs w:val="24"/>
          <w:highlight w:val="none"/>
        </w:rPr>
      </w:pPr>
      <w:bookmarkStart w:id="775" w:name="_bookmark116"/>
      <w:bookmarkEnd w:id="775"/>
      <w:r>
        <w:rPr>
          <w:rFonts w:ascii="宋体" w:hAnsi="宋体" w:cs="宋体"/>
          <w:color w:val="auto"/>
          <w:szCs w:val="24"/>
          <w:highlight w:val="none"/>
        </w:rPr>
        <w:t>6.2</w:t>
      </w:r>
      <w:r>
        <w:rPr>
          <w:rFonts w:ascii="宋体" w:hAnsi="宋体" w:cs="宋体"/>
          <w:color w:val="auto"/>
          <w:szCs w:val="24"/>
          <w:highlight w:val="none"/>
        </w:rPr>
        <w:tab/>
      </w:r>
      <w:r>
        <w:rPr>
          <w:rFonts w:ascii="宋体" w:hAnsi="宋体" w:cs="宋体"/>
          <w:color w:val="auto"/>
          <w:szCs w:val="24"/>
          <w:highlight w:val="none"/>
        </w:rPr>
        <w:t>发包人提供的施工设备和临时设施</w:t>
      </w:r>
    </w:p>
    <w:p>
      <w:pPr>
        <w:adjustRightInd/>
        <w:spacing w:before="5" w:line="240" w:lineRule="exact"/>
        <w:ind w:firstLine="0" w:firstLineChars="0"/>
        <w:textAlignment w:val="auto"/>
        <w:rPr>
          <w:rFonts w:ascii="Calibri" w:hAnsi="Calibri"/>
          <w:color w:val="auto"/>
          <w:szCs w:val="24"/>
          <w:highlight w:val="none"/>
        </w:rPr>
      </w:pPr>
    </w:p>
    <w:p>
      <w:pPr>
        <w:tabs>
          <w:tab w:val="left" w:pos="8350"/>
        </w:tabs>
        <w:adjustRightInd/>
        <w:spacing w:line="316" w:lineRule="auto"/>
        <w:ind w:left="578" w:right="333"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的</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和</w:t>
      </w:r>
      <w:r>
        <w:rPr>
          <w:rFonts w:ascii="宋体" w:hAnsi="宋体"/>
          <w:color w:val="auto"/>
          <w:sz w:val="21"/>
          <w:szCs w:val="21"/>
          <w:highlight w:val="none"/>
        </w:rPr>
        <w:t>临时</w:t>
      </w:r>
      <w:r>
        <w:rPr>
          <w:rFonts w:ascii="宋体" w:hAnsi="宋体"/>
          <w:color w:val="auto"/>
          <w:spacing w:val="-3"/>
          <w:sz w:val="21"/>
          <w:szCs w:val="21"/>
          <w:highlight w:val="none"/>
        </w:rPr>
        <w:t>设</w:t>
      </w:r>
      <w:r>
        <w:rPr>
          <w:rFonts w:ascii="宋体" w:hAnsi="宋体"/>
          <w:color w:val="auto"/>
          <w:sz w:val="21"/>
          <w:szCs w:val="21"/>
          <w:highlight w:val="none"/>
        </w:rPr>
        <w:t>施</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   无</w:t>
      </w:r>
      <w:r>
        <w:rPr>
          <w:rFonts w:ascii="宋体" w:hAnsi="宋体"/>
          <w:color w:val="auto"/>
          <w:sz w:val="21"/>
          <w:szCs w:val="21"/>
          <w:highlight w:val="none"/>
          <w:u w:val="single" w:color="000000"/>
        </w:rPr>
        <w:tab/>
      </w:r>
    </w:p>
    <w:p>
      <w:pPr>
        <w:tabs>
          <w:tab w:val="left" w:pos="8350"/>
        </w:tabs>
        <w:adjustRightInd/>
        <w:spacing w:line="316" w:lineRule="auto"/>
        <w:ind w:left="578" w:right="333"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供</w:t>
      </w:r>
      <w:r>
        <w:rPr>
          <w:rFonts w:ascii="宋体" w:hAnsi="宋体"/>
          <w:color w:val="auto"/>
          <w:sz w:val="21"/>
          <w:szCs w:val="21"/>
          <w:highlight w:val="none"/>
        </w:rPr>
        <w:t>的</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和</w:t>
      </w:r>
      <w:r>
        <w:rPr>
          <w:rFonts w:ascii="宋体" w:hAnsi="宋体"/>
          <w:color w:val="auto"/>
          <w:sz w:val="21"/>
          <w:szCs w:val="21"/>
          <w:highlight w:val="none"/>
        </w:rPr>
        <w:t>临时</w:t>
      </w:r>
      <w:r>
        <w:rPr>
          <w:rFonts w:ascii="宋体" w:hAnsi="宋体"/>
          <w:color w:val="auto"/>
          <w:spacing w:val="-3"/>
          <w:sz w:val="21"/>
          <w:szCs w:val="21"/>
          <w:highlight w:val="none"/>
        </w:rPr>
        <w:t>设</w:t>
      </w:r>
      <w:r>
        <w:rPr>
          <w:rFonts w:ascii="宋体" w:hAnsi="宋体"/>
          <w:color w:val="auto"/>
          <w:sz w:val="21"/>
          <w:szCs w:val="21"/>
          <w:highlight w:val="none"/>
        </w:rPr>
        <w:t>施</w:t>
      </w:r>
      <w:r>
        <w:rPr>
          <w:rFonts w:ascii="宋体" w:hAnsi="宋体"/>
          <w:color w:val="auto"/>
          <w:spacing w:val="-3"/>
          <w:sz w:val="21"/>
          <w:szCs w:val="21"/>
          <w:highlight w:val="none"/>
        </w:rPr>
        <w:t>的</w:t>
      </w:r>
      <w:r>
        <w:rPr>
          <w:rFonts w:ascii="宋体" w:hAnsi="宋体"/>
          <w:color w:val="auto"/>
          <w:sz w:val="21"/>
          <w:szCs w:val="21"/>
          <w:highlight w:val="none"/>
        </w:rPr>
        <w:t>运</w:t>
      </w:r>
      <w:r>
        <w:rPr>
          <w:rFonts w:ascii="宋体" w:hAnsi="宋体"/>
          <w:color w:val="auto"/>
          <w:spacing w:val="-3"/>
          <w:sz w:val="21"/>
          <w:szCs w:val="21"/>
          <w:highlight w:val="none"/>
        </w:rPr>
        <w:t>行</w:t>
      </w:r>
      <w:r>
        <w:rPr>
          <w:rFonts w:ascii="宋体" w:hAnsi="宋体"/>
          <w:color w:val="auto"/>
          <w:sz w:val="21"/>
          <w:szCs w:val="21"/>
          <w:highlight w:val="none"/>
        </w:rPr>
        <w:t>、</w:t>
      </w:r>
      <w:r>
        <w:rPr>
          <w:rFonts w:ascii="宋体" w:hAnsi="宋体"/>
          <w:color w:val="auto"/>
          <w:spacing w:val="-3"/>
          <w:sz w:val="21"/>
          <w:szCs w:val="21"/>
          <w:highlight w:val="none"/>
        </w:rPr>
        <w:t>维</w:t>
      </w:r>
      <w:r>
        <w:rPr>
          <w:rFonts w:ascii="宋体" w:hAnsi="宋体"/>
          <w:color w:val="auto"/>
          <w:sz w:val="21"/>
          <w:szCs w:val="21"/>
          <w:highlight w:val="none"/>
        </w:rPr>
        <w:t>护</w:t>
      </w:r>
      <w:r>
        <w:rPr>
          <w:rFonts w:ascii="宋体" w:hAnsi="宋体"/>
          <w:color w:val="auto"/>
          <w:spacing w:val="-3"/>
          <w:sz w:val="21"/>
          <w:szCs w:val="21"/>
          <w:highlight w:val="none"/>
        </w:rPr>
        <w:t>、</w:t>
      </w:r>
      <w:r>
        <w:rPr>
          <w:rFonts w:ascii="宋体" w:hAnsi="宋体"/>
          <w:color w:val="auto"/>
          <w:sz w:val="21"/>
          <w:szCs w:val="21"/>
          <w:highlight w:val="none"/>
        </w:rPr>
        <w:t>拆除</w:t>
      </w:r>
      <w:r>
        <w:rPr>
          <w:rFonts w:ascii="宋体" w:hAnsi="宋体"/>
          <w:color w:val="auto"/>
          <w:spacing w:val="-3"/>
          <w:sz w:val="21"/>
          <w:szCs w:val="21"/>
          <w:highlight w:val="none"/>
        </w:rPr>
        <w:t>、</w:t>
      </w:r>
      <w:r>
        <w:rPr>
          <w:rFonts w:ascii="宋体" w:hAnsi="宋体"/>
          <w:color w:val="auto"/>
          <w:sz w:val="21"/>
          <w:szCs w:val="21"/>
          <w:highlight w:val="none"/>
        </w:rPr>
        <w:t>清</w:t>
      </w:r>
      <w:r>
        <w:rPr>
          <w:rFonts w:ascii="宋体" w:hAnsi="宋体"/>
          <w:color w:val="auto"/>
          <w:spacing w:val="-3"/>
          <w:sz w:val="21"/>
          <w:szCs w:val="21"/>
          <w:highlight w:val="none"/>
        </w:rPr>
        <w:t>运</w:t>
      </w:r>
      <w:r>
        <w:rPr>
          <w:rFonts w:ascii="宋体" w:hAnsi="宋体"/>
          <w:color w:val="auto"/>
          <w:sz w:val="21"/>
          <w:szCs w:val="21"/>
          <w:highlight w:val="none"/>
        </w:rPr>
        <w:t>费</w:t>
      </w:r>
      <w:r>
        <w:rPr>
          <w:rFonts w:ascii="宋体" w:hAnsi="宋体"/>
          <w:color w:val="auto"/>
          <w:spacing w:val="-3"/>
          <w:sz w:val="21"/>
          <w:szCs w:val="21"/>
          <w:highlight w:val="none"/>
        </w:rPr>
        <w:t>用</w:t>
      </w:r>
      <w:r>
        <w:rPr>
          <w:rFonts w:ascii="宋体" w:hAnsi="宋体"/>
          <w:color w:val="auto"/>
          <w:sz w:val="21"/>
          <w:szCs w:val="21"/>
          <w:highlight w:val="none"/>
        </w:rPr>
        <w:t>的</w:t>
      </w:r>
      <w:r>
        <w:rPr>
          <w:rFonts w:ascii="宋体" w:hAnsi="宋体"/>
          <w:color w:val="auto"/>
          <w:spacing w:val="-3"/>
          <w:sz w:val="21"/>
          <w:szCs w:val="21"/>
          <w:highlight w:val="none"/>
        </w:rPr>
        <w:t>承</w:t>
      </w:r>
      <w:r>
        <w:rPr>
          <w:rFonts w:ascii="宋体" w:hAnsi="宋体"/>
          <w:color w:val="auto"/>
          <w:sz w:val="21"/>
          <w:szCs w:val="21"/>
          <w:highlight w:val="none"/>
        </w:rPr>
        <w:t>担</w:t>
      </w:r>
      <w:r>
        <w:rPr>
          <w:rFonts w:ascii="宋体" w:hAnsi="宋体"/>
          <w:color w:val="auto"/>
          <w:spacing w:val="-3"/>
          <w:sz w:val="21"/>
          <w:szCs w:val="21"/>
          <w:highlight w:val="none"/>
        </w:rPr>
        <w:t>人</w:t>
      </w:r>
      <w:r>
        <w:rPr>
          <w:rFonts w:ascii="宋体" w:hAnsi="宋体"/>
          <w:color w:val="auto"/>
          <w:sz w:val="21"/>
          <w:szCs w:val="21"/>
          <w:highlight w:val="none"/>
        </w:rPr>
        <w:t>：</w:t>
      </w:r>
      <w:r>
        <w:rPr>
          <w:rFonts w:hint="eastAsia" w:ascii="宋体" w:hAnsi="宋体"/>
          <w:color w:val="auto"/>
          <w:sz w:val="21"/>
          <w:szCs w:val="21"/>
          <w:highlight w:val="none"/>
          <w:u w:val="single"/>
        </w:rPr>
        <w:t xml:space="preserve">   无</w:t>
      </w:r>
    </w:p>
    <w:p>
      <w:pPr>
        <w:adjustRightInd/>
        <w:spacing w:before="7" w:line="150" w:lineRule="exact"/>
        <w:ind w:firstLine="0" w:firstLineChars="0"/>
        <w:textAlignment w:val="auto"/>
        <w:rPr>
          <w:rFonts w:ascii="Calibri" w:hAnsi="Calibri"/>
          <w:color w:val="auto"/>
          <w:sz w:val="15"/>
          <w:szCs w:val="15"/>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76" w:name="_bookmark117"/>
      <w:bookmarkEnd w:id="776"/>
      <w:r>
        <w:rPr>
          <w:rFonts w:ascii="宋体" w:hAnsi="宋体" w:cs="宋体"/>
          <w:color w:val="auto"/>
          <w:spacing w:val="1"/>
          <w:sz w:val="28"/>
          <w:szCs w:val="28"/>
          <w:highlight w:val="none"/>
        </w:rPr>
        <w:t>7</w:t>
      </w:r>
      <w:r>
        <w:rPr>
          <w:rFonts w:ascii="宋体" w:hAnsi="宋体" w:cs="宋体"/>
          <w:color w:val="auto"/>
          <w:spacing w:val="-2"/>
          <w:sz w:val="28"/>
          <w:szCs w:val="28"/>
          <w:highlight w:val="none"/>
        </w:rPr>
        <w:t>.</w:t>
      </w:r>
      <w:r>
        <w:rPr>
          <w:rFonts w:ascii="宋体" w:hAnsi="宋体" w:cs="宋体"/>
          <w:color w:val="auto"/>
          <w:sz w:val="28"/>
          <w:szCs w:val="28"/>
          <w:highlight w:val="none"/>
        </w:rPr>
        <w:t>交通</w:t>
      </w:r>
      <w:r>
        <w:rPr>
          <w:rFonts w:ascii="宋体" w:hAnsi="宋体" w:cs="宋体"/>
          <w:color w:val="auto"/>
          <w:spacing w:val="-3"/>
          <w:sz w:val="28"/>
          <w:szCs w:val="28"/>
          <w:highlight w:val="none"/>
        </w:rPr>
        <w:t>运</w:t>
      </w:r>
      <w:r>
        <w:rPr>
          <w:rFonts w:ascii="宋体" w:hAnsi="宋体" w:cs="宋体"/>
          <w:color w:val="auto"/>
          <w:sz w:val="28"/>
          <w:szCs w:val="28"/>
          <w:highlight w:val="none"/>
        </w:rPr>
        <w:t>输</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77" w:name="_bookmark118"/>
      <w:bookmarkEnd w:id="777"/>
      <w:r>
        <w:rPr>
          <w:rFonts w:ascii="宋体" w:hAnsi="宋体" w:cs="宋体"/>
          <w:color w:val="auto"/>
          <w:szCs w:val="24"/>
          <w:highlight w:val="none"/>
        </w:rPr>
        <w:t>7.1</w:t>
      </w:r>
      <w:r>
        <w:rPr>
          <w:rFonts w:ascii="宋体" w:hAnsi="宋体" w:cs="宋体"/>
          <w:color w:val="auto"/>
          <w:szCs w:val="24"/>
          <w:highlight w:val="none"/>
        </w:rPr>
        <w:tab/>
      </w:r>
      <w:r>
        <w:rPr>
          <w:rFonts w:ascii="宋体" w:hAnsi="宋体" w:cs="宋体"/>
          <w:color w:val="auto"/>
          <w:szCs w:val="24"/>
          <w:highlight w:val="none"/>
        </w:rPr>
        <w:t>道路通行权和场外设施</w:t>
      </w:r>
    </w:p>
    <w:p>
      <w:pPr>
        <w:adjustRightInd/>
        <w:spacing w:before="5" w:line="240" w:lineRule="exact"/>
        <w:ind w:firstLine="0" w:firstLineChars="0"/>
        <w:textAlignment w:val="auto"/>
        <w:rPr>
          <w:rFonts w:ascii="Calibri" w:hAnsi="Calibri"/>
          <w:color w:val="auto"/>
          <w:szCs w:val="24"/>
          <w:highlight w:val="none"/>
        </w:rPr>
      </w:pPr>
    </w:p>
    <w:p>
      <w:pPr>
        <w:tabs>
          <w:tab w:val="left" w:pos="7104"/>
        </w:tabs>
        <w:adjustRightInd/>
        <w:spacing w:line="316" w:lineRule="auto"/>
        <w:ind w:left="158" w:right="213" w:firstLine="419" w:firstLineChars="0"/>
        <w:textAlignment w:val="auto"/>
        <w:rPr>
          <w:rFonts w:ascii="宋体" w:hAnsi="宋体"/>
          <w:color w:val="auto"/>
          <w:sz w:val="21"/>
          <w:szCs w:val="21"/>
          <w:highlight w:val="none"/>
        </w:rPr>
      </w:pPr>
      <w:r>
        <w:rPr>
          <w:rFonts w:ascii="宋体" w:hAnsi="宋体"/>
          <w:color w:val="auto"/>
          <w:sz w:val="21"/>
          <w:szCs w:val="21"/>
          <w:highlight w:val="none"/>
        </w:rPr>
        <w:t>负责取</w:t>
      </w:r>
      <w:r>
        <w:rPr>
          <w:rFonts w:ascii="宋体" w:hAnsi="宋体"/>
          <w:color w:val="auto"/>
          <w:spacing w:val="-3"/>
          <w:sz w:val="21"/>
          <w:szCs w:val="21"/>
          <w:highlight w:val="none"/>
        </w:rPr>
        <w:t>得</w:t>
      </w:r>
      <w:r>
        <w:rPr>
          <w:rFonts w:ascii="宋体" w:hAnsi="宋体"/>
          <w:color w:val="auto"/>
          <w:sz w:val="21"/>
          <w:szCs w:val="21"/>
          <w:highlight w:val="none"/>
        </w:rPr>
        <w:t>道路</w:t>
      </w:r>
      <w:r>
        <w:rPr>
          <w:rFonts w:ascii="宋体" w:hAnsi="宋体"/>
          <w:color w:val="auto"/>
          <w:spacing w:val="-3"/>
          <w:sz w:val="21"/>
          <w:szCs w:val="21"/>
          <w:highlight w:val="none"/>
        </w:rPr>
        <w:t>通</w:t>
      </w:r>
      <w:r>
        <w:rPr>
          <w:rFonts w:ascii="宋体" w:hAnsi="宋体"/>
          <w:color w:val="auto"/>
          <w:sz w:val="21"/>
          <w:szCs w:val="21"/>
          <w:highlight w:val="none"/>
        </w:rPr>
        <w:t>行权</w:t>
      </w:r>
      <w:r>
        <w:rPr>
          <w:rFonts w:ascii="宋体" w:hAnsi="宋体"/>
          <w:color w:val="auto"/>
          <w:spacing w:val="-3"/>
          <w:sz w:val="21"/>
          <w:szCs w:val="21"/>
          <w:highlight w:val="none"/>
        </w:rPr>
        <w:t>、场</w:t>
      </w:r>
      <w:r>
        <w:rPr>
          <w:rFonts w:ascii="宋体" w:hAnsi="宋体"/>
          <w:color w:val="auto"/>
          <w:sz w:val="21"/>
          <w:szCs w:val="21"/>
          <w:highlight w:val="none"/>
        </w:rPr>
        <w:t>外设施</w:t>
      </w:r>
      <w:r>
        <w:rPr>
          <w:rFonts w:ascii="宋体" w:hAnsi="宋体"/>
          <w:color w:val="auto"/>
          <w:spacing w:val="-3"/>
          <w:sz w:val="21"/>
          <w:szCs w:val="21"/>
          <w:highlight w:val="none"/>
        </w:rPr>
        <w:t>修</w:t>
      </w:r>
      <w:r>
        <w:rPr>
          <w:rFonts w:ascii="宋体" w:hAnsi="宋体"/>
          <w:color w:val="auto"/>
          <w:sz w:val="21"/>
          <w:szCs w:val="21"/>
          <w:highlight w:val="none"/>
        </w:rPr>
        <w:t>建权</w:t>
      </w:r>
      <w:r>
        <w:rPr>
          <w:rFonts w:ascii="宋体" w:hAnsi="宋体"/>
          <w:color w:val="auto"/>
          <w:spacing w:val="-3"/>
          <w:sz w:val="21"/>
          <w:szCs w:val="21"/>
          <w:highlight w:val="none"/>
        </w:rPr>
        <w:t>的</w:t>
      </w:r>
      <w:r>
        <w:rPr>
          <w:rFonts w:ascii="宋体" w:hAnsi="宋体"/>
          <w:color w:val="auto"/>
          <w:sz w:val="21"/>
          <w:szCs w:val="21"/>
          <w:highlight w:val="none"/>
        </w:rPr>
        <w:t>办理</w:t>
      </w:r>
      <w:r>
        <w:rPr>
          <w:rFonts w:ascii="宋体" w:hAnsi="宋体"/>
          <w:color w:val="auto"/>
          <w:spacing w:val="-2"/>
          <w:sz w:val="21"/>
          <w:szCs w:val="21"/>
          <w:highlight w:val="none"/>
        </w:rPr>
        <w:t>人</w:t>
      </w:r>
      <w:r>
        <w:rPr>
          <w:rFonts w:ascii="宋体" w:hAnsi="宋体" w:cs="宋体"/>
          <w:color w:val="auto"/>
          <w:sz w:val="21"/>
          <w:szCs w:val="21"/>
          <w:highlight w:val="none"/>
        </w:rPr>
        <w:t>:</w:t>
      </w:r>
      <w:r>
        <w:rPr>
          <w:rFonts w:hint="eastAsia" w:ascii="宋体" w:hAnsi="宋体"/>
          <w:color w:val="auto"/>
          <w:sz w:val="21"/>
          <w:szCs w:val="21"/>
          <w:highlight w:val="none"/>
          <w:u w:val="single"/>
        </w:rPr>
        <w:t>承包人</w:t>
      </w:r>
      <w:r>
        <w:rPr>
          <w:rFonts w:ascii="宋体" w:hAnsi="宋体"/>
          <w:color w:val="auto"/>
          <w:sz w:val="21"/>
          <w:szCs w:val="21"/>
          <w:highlight w:val="none"/>
        </w:rPr>
        <w:t>，</w:t>
      </w:r>
      <w:r>
        <w:rPr>
          <w:rFonts w:ascii="宋体" w:hAnsi="宋体"/>
          <w:color w:val="auto"/>
          <w:spacing w:val="-3"/>
          <w:sz w:val="21"/>
          <w:szCs w:val="21"/>
          <w:highlight w:val="none"/>
        </w:rPr>
        <w:t>其</w:t>
      </w:r>
      <w:r>
        <w:rPr>
          <w:rFonts w:ascii="宋体" w:hAnsi="宋体"/>
          <w:color w:val="auto"/>
          <w:sz w:val="21"/>
          <w:szCs w:val="21"/>
          <w:highlight w:val="none"/>
        </w:rPr>
        <w:t>相关</w:t>
      </w:r>
      <w:r>
        <w:rPr>
          <w:rFonts w:ascii="宋体" w:hAnsi="宋体"/>
          <w:color w:val="auto"/>
          <w:spacing w:val="-3"/>
          <w:sz w:val="21"/>
          <w:szCs w:val="21"/>
          <w:highlight w:val="none"/>
        </w:rPr>
        <w:t>费</w:t>
      </w:r>
      <w:r>
        <w:rPr>
          <w:rFonts w:ascii="宋体" w:hAnsi="宋体"/>
          <w:color w:val="auto"/>
          <w:sz w:val="21"/>
          <w:szCs w:val="21"/>
          <w:highlight w:val="none"/>
        </w:rPr>
        <w:t>用 由发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承</w:t>
      </w:r>
      <w:r>
        <w:rPr>
          <w:rFonts w:ascii="宋体" w:hAnsi="宋体"/>
          <w:color w:val="auto"/>
          <w:sz w:val="21"/>
          <w:szCs w:val="21"/>
          <w:highlight w:val="none"/>
        </w:rPr>
        <w:t>担。</w:t>
      </w:r>
    </w:p>
    <w:p>
      <w:pPr>
        <w:adjustRightInd/>
        <w:spacing w:line="140" w:lineRule="exact"/>
        <w:ind w:firstLine="0" w:firstLineChars="0"/>
        <w:textAlignment w:val="auto"/>
        <w:rPr>
          <w:rFonts w:ascii="Calibri" w:hAnsi="Calibri"/>
          <w:color w:val="auto"/>
          <w:sz w:val="14"/>
          <w:szCs w:val="14"/>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78" w:name="_bookmark119"/>
      <w:bookmarkEnd w:id="778"/>
      <w:r>
        <w:rPr>
          <w:rFonts w:ascii="宋体" w:hAnsi="宋体" w:cs="宋体"/>
          <w:color w:val="auto"/>
          <w:szCs w:val="24"/>
          <w:highlight w:val="none"/>
        </w:rPr>
        <w:t>7.2</w:t>
      </w:r>
      <w:r>
        <w:rPr>
          <w:rFonts w:ascii="宋体" w:hAnsi="宋体" w:cs="宋体"/>
          <w:color w:val="auto"/>
          <w:szCs w:val="24"/>
          <w:highlight w:val="none"/>
        </w:rPr>
        <w:tab/>
      </w:r>
      <w:r>
        <w:rPr>
          <w:rFonts w:ascii="宋体" w:hAnsi="宋体" w:cs="宋体"/>
          <w:color w:val="auto"/>
          <w:szCs w:val="24"/>
          <w:highlight w:val="none"/>
        </w:rPr>
        <w:t>场内施工道路</w:t>
      </w:r>
    </w:p>
    <w:p>
      <w:pPr>
        <w:adjustRightInd/>
        <w:spacing w:before="5" w:line="240" w:lineRule="exact"/>
        <w:ind w:firstLine="0" w:firstLineChars="0"/>
        <w:textAlignment w:val="auto"/>
        <w:rPr>
          <w:rFonts w:ascii="Calibri" w:hAnsi="Calibri"/>
          <w:color w:val="auto"/>
          <w:szCs w:val="24"/>
          <w:highlight w:val="none"/>
        </w:rPr>
      </w:pPr>
    </w:p>
    <w:p>
      <w:pPr>
        <w:tabs>
          <w:tab w:val="left" w:pos="1314"/>
          <w:tab w:val="left" w:pos="2889"/>
          <w:tab w:val="left" w:pos="8367"/>
        </w:tabs>
        <w:adjustRightInd/>
        <w:spacing w:line="316" w:lineRule="auto"/>
        <w:ind w:left="158" w:right="107" w:firstLine="419" w:firstLineChars="0"/>
        <w:textAlignment w:val="auto"/>
        <w:rPr>
          <w:rFonts w:ascii="宋体" w:hAnsi="宋体"/>
          <w:color w:val="auto"/>
          <w:sz w:val="21"/>
          <w:szCs w:val="21"/>
          <w:highlight w:val="none"/>
        </w:rPr>
      </w:pPr>
      <w:r>
        <w:rPr>
          <w:rFonts w:ascii="宋体" w:hAnsi="宋体" w:cs="宋体"/>
          <w:color w:val="auto"/>
          <w:sz w:val="21"/>
          <w:szCs w:val="21"/>
          <w:highlight w:val="none"/>
        </w:rPr>
        <w:t>7.2.1</w:t>
      </w:r>
      <w:r>
        <w:rPr>
          <w:rFonts w:ascii="宋体" w:hAnsi="宋体" w:cs="宋体"/>
          <w:color w:val="auto"/>
          <w:sz w:val="21"/>
          <w:szCs w:val="21"/>
          <w:highlight w:val="none"/>
        </w:rPr>
        <w:tab/>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所</w:t>
      </w:r>
      <w:r>
        <w:rPr>
          <w:rFonts w:ascii="宋体" w:hAnsi="宋体"/>
          <w:color w:val="auto"/>
          <w:sz w:val="21"/>
          <w:szCs w:val="21"/>
          <w:highlight w:val="none"/>
        </w:rPr>
        <w:t>需</w:t>
      </w:r>
      <w:r>
        <w:rPr>
          <w:rFonts w:ascii="宋体" w:hAnsi="宋体"/>
          <w:color w:val="auto"/>
          <w:spacing w:val="-3"/>
          <w:sz w:val="21"/>
          <w:szCs w:val="21"/>
          <w:highlight w:val="none"/>
        </w:rPr>
        <w:t>的</w:t>
      </w:r>
      <w:r>
        <w:rPr>
          <w:rFonts w:ascii="宋体" w:hAnsi="宋体"/>
          <w:color w:val="auto"/>
          <w:sz w:val="21"/>
          <w:szCs w:val="21"/>
          <w:highlight w:val="none"/>
        </w:rPr>
        <w:t>场</w:t>
      </w:r>
      <w:r>
        <w:rPr>
          <w:rFonts w:ascii="宋体" w:hAnsi="宋体"/>
          <w:color w:val="auto"/>
          <w:spacing w:val="-3"/>
          <w:sz w:val="21"/>
          <w:szCs w:val="21"/>
          <w:highlight w:val="none"/>
        </w:rPr>
        <w:t>内临</w:t>
      </w:r>
      <w:r>
        <w:rPr>
          <w:rFonts w:ascii="宋体" w:hAnsi="宋体"/>
          <w:color w:val="auto"/>
          <w:sz w:val="21"/>
          <w:szCs w:val="21"/>
          <w:highlight w:val="none"/>
        </w:rPr>
        <w:t>时道</w:t>
      </w:r>
      <w:r>
        <w:rPr>
          <w:rFonts w:ascii="宋体" w:hAnsi="宋体"/>
          <w:color w:val="auto"/>
          <w:spacing w:val="-3"/>
          <w:sz w:val="21"/>
          <w:szCs w:val="21"/>
          <w:highlight w:val="none"/>
        </w:rPr>
        <w:t>路</w:t>
      </w:r>
      <w:r>
        <w:rPr>
          <w:rFonts w:ascii="宋体" w:hAnsi="宋体"/>
          <w:color w:val="auto"/>
          <w:sz w:val="21"/>
          <w:szCs w:val="21"/>
          <w:highlight w:val="none"/>
        </w:rPr>
        <w:t>和</w:t>
      </w:r>
      <w:r>
        <w:rPr>
          <w:rFonts w:ascii="宋体" w:hAnsi="宋体"/>
          <w:color w:val="auto"/>
          <w:spacing w:val="-3"/>
          <w:sz w:val="21"/>
          <w:szCs w:val="21"/>
          <w:highlight w:val="none"/>
        </w:rPr>
        <w:t>交</w:t>
      </w:r>
      <w:r>
        <w:rPr>
          <w:rFonts w:ascii="宋体" w:hAnsi="宋体"/>
          <w:color w:val="auto"/>
          <w:sz w:val="21"/>
          <w:szCs w:val="21"/>
          <w:highlight w:val="none"/>
        </w:rPr>
        <w:t>通</w:t>
      </w:r>
      <w:r>
        <w:rPr>
          <w:rFonts w:ascii="宋体" w:hAnsi="宋体"/>
          <w:color w:val="auto"/>
          <w:spacing w:val="-3"/>
          <w:sz w:val="21"/>
          <w:szCs w:val="21"/>
          <w:highlight w:val="none"/>
        </w:rPr>
        <w:t>设</w:t>
      </w:r>
      <w:r>
        <w:rPr>
          <w:rFonts w:ascii="宋体" w:hAnsi="宋体"/>
          <w:color w:val="auto"/>
          <w:sz w:val="21"/>
          <w:szCs w:val="21"/>
          <w:highlight w:val="none"/>
        </w:rPr>
        <w:t>施</w:t>
      </w:r>
      <w:r>
        <w:rPr>
          <w:rFonts w:ascii="宋体" w:hAnsi="宋体"/>
          <w:color w:val="auto"/>
          <w:spacing w:val="-3"/>
          <w:sz w:val="21"/>
          <w:szCs w:val="21"/>
          <w:highlight w:val="none"/>
        </w:rPr>
        <w:t>的</w:t>
      </w:r>
      <w:r>
        <w:rPr>
          <w:rFonts w:ascii="宋体" w:hAnsi="宋体"/>
          <w:color w:val="auto"/>
          <w:sz w:val="21"/>
          <w:szCs w:val="21"/>
          <w:highlight w:val="none"/>
        </w:rPr>
        <w:t>修</w:t>
      </w:r>
      <w:r>
        <w:rPr>
          <w:rFonts w:ascii="宋体" w:hAnsi="宋体"/>
          <w:color w:val="auto"/>
          <w:spacing w:val="-3"/>
          <w:sz w:val="21"/>
          <w:szCs w:val="21"/>
          <w:highlight w:val="none"/>
        </w:rPr>
        <w:t>建</w:t>
      </w:r>
      <w:r>
        <w:rPr>
          <w:rFonts w:ascii="宋体" w:hAnsi="宋体"/>
          <w:color w:val="auto"/>
          <w:spacing w:val="-68"/>
          <w:sz w:val="21"/>
          <w:szCs w:val="21"/>
          <w:highlight w:val="none"/>
        </w:rPr>
        <w:t>、</w:t>
      </w:r>
      <w:r>
        <w:rPr>
          <w:rFonts w:ascii="宋体" w:hAnsi="宋体"/>
          <w:color w:val="auto"/>
          <w:sz w:val="21"/>
          <w:szCs w:val="21"/>
          <w:highlight w:val="none"/>
        </w:rPr>
        <w:t>维护</w:t>
      </w:r>
      <w:r>
        <w:rPr>
          <w:rFonts w:ascii="宋体" w:hAnsi="宋体"/>
          <w:color w:val="auto"/>
          <w:spacing w:val="-68"/>
          <w:sz w:val="21"/>
          <w:szCs w:val="21"/>
          <w:highlight w:val="none"/>
        </w:rPr>
        <w:t>、</w:t>
      </w:r>
      <w:r>
        <w:rPr>
          <w:rFonts w:ascii="宋体" w:hAnsi="宋体"/>
          <w:color w:val="auto"/>
          <w:sz w:val="21"/>
          <w:szCs w:val="21"/>
          <w:highlight w:val="none"/>
        </w:rPr>
        <w:t>养</w:t>
      </w:r>
      <w:r>
        <w:rPr>
          <w:rFonts w:ascii="宋体" w:hAnsi="宋体"/>
          <w:color w:val="auto"/>
          <w:spacing w:val="-3"/>
          <w:sz w:val="21"/>
          <w:szCs w:val="21"/>
          <w:highlight w:val="none"/>
        </w:rPr>
        <w:t>护</w:t>
      </w:r>
      <w:r>
        <w:rPr>
          <w:rFonts w:ascii="宋体" w:hAnsi="宋体"/>
          <w:color w:val="auto"/>
          <w:sz w:val="21"/>
          <w:szCs w:val="21"/>
          <w:highlight w:val="none"/>
        </w:rPr>
        <w:t>和</w:t>
      </w:r>
      <w:r>
        <w:rPr>
          <w:rFonts w:ascii="宋体" w:hAnsi="宋体"/>
          <w:color w:val="auto"/>
          <w:spacing w:val="-3"/>
          <w:sz w:val="21"/>
          <w:szCs w:val="21"/>
          <w:highlight w:val="none"/>
        </w:rPr>
        <w:t>管</w:t>
      </w:r>
      <w:r>
        <w:rPr>
          <w:rFonts w:ascii="宋体" w:hAnsi="宋体"/>
          <w:color w:val="auto"/>
          <w:sz w:val="21"/>
          <w:szCs w:val="21"/>
          <w:highlight w:val="none"/>
        </w:rPr>
        <w:t>理</w:t>
      </w:r>
      <w:r>
        <w:rPr>
          <w:rFonts w:ascii="宋体" w:hAnsi="宋体"/>
          <w:color w:val="auto"/>
          <w:spacing w:val="-3"/>
          <w:sz w:val="21"/>
          <w:szCs w:val="21"/>
          <w:highlight w:val="none"/>
        </w:rPr>
        <w:t>人</w:t>
      </w:r>
      <w:r>
        <w:rPr>
          <w:rFonts w:ascii="宋体" w:hAnsi="宋体"/>
          <w:color w:val="auto"/>
          <w:spacing w:val="-65"/>
          <w:sz w:val="21"/>
          <w:szCs w:val="21"/>
          <w:highlight w:val="none"/>
        </w:rPr>
        <w:t>：</w:t>
      </w:r>
      <w:r>
        <w:rPr>
          <w:rFonts w:hint="eastAsia" w:ascii="宋体" w:hAnsi="宋体"/>
          <w:color w:val="auto"/>
          <w:sz w:val="21"/>
          <w:szCs w:val="21"/>
          <w:highlight w:val="none"/>
          <w:u w:val="single"/>
        </w:rPr>
        <w:t>承包人</w:t>
      </w:r>
      <w:r>
        <w:rPr>
          <w:rFonts w:ascii="宋体" w:hAnsi="宋体"/>
          <w:color w:val="auto"/>
          <w:sz w:val="21"/>
          <w:szCs w:val="21"/>
          <w:highlight w:val="none"/>
        </w:rPr>
        <w:t>， 相关</w:t>
      </w:r>
      <w:r>
        <w:rPr>
          <w:rFonts w:ascii="宋体" w:hAnsi="宋体"/>
          <w:color w:val="auto"/>
          <w:spacing w:val="-3"/>
          <w:sz w:val="21"/>
          <w:szCs w:val="21"/>
          <w:highlight w:val="none"/>
        </w:rPr>
        <w:t>费</w:t>
      </w:r>
      <w:r>
        <w:rPr>
          <w:rFonts w:ascii="宋体" w:hAnsi="宋体"/>
          <w:color w:val="auto"/>
          <w:sz w:val="21"/>
          <w:szCs w:val="21"/>
          <w:highlight w:val="none"/>
        </w:rPr>
        <w:t>用</w:t>
      </w:r>
      <w:r>
        <w:rPr>
          <w:rFonts w:ascii="宋体" w:hAnsi="宋体"/>
          <w:color w:val="auto"/>
          <w:spacing w:val="-3"/>
          <w:sz w:val="21"/>
          <w:szCs w:val="21"/>
          <w:highlight w:val="none"/>
        </w:rPr>
        <w:t>由</w:t>
      </w:r>
      <w:r>
        <w:rPr>
          <w:rFonts w:hint="eastAsia" w:ascii="宋体" w:hAnsi="宋体"/>
          <w:color w:val="auto"/>
          <w:sz w:val="21"/>
          <w:szCs w:val="21"/>
          <w:highlight w:val="none"/>
          <w:u w:val="single"/>
        </w:rPr>
        <w:t>承包人</w:t>
      </w:r>
      <w:r>
        <w:rPr>
          <w:rFonts w:ascii="宋体" w:hAnsi="宋体"/>
          <w:color w:val="auto"/>
          <w:spacing w:val="-3"/>
          <w:sz w:val="21"/>
          <w:szCs w:val="21"/>
          <w:highlight w:val="none"/>
        </w:rPr>
        <w:t>承</w:t>
      </w:r>
      <w:r>
        <w:rPr>
          <w:rFonts w:ascii="宋体" w:hAnsi="宋体"/>
          <w:color w:val="auto"/>
          <w:sz w:val="21"/>
          <w:szCs w:val="21"/>
          <w:highlight w:val="none"/>
        </w:rPr>
        <w:t>担。</w:t>
      </w:r>
    </w:p>
    <w:p>
      <w:pPr>
        <w:adjustRightInd/>
        <w:spacing w:before="4" w:line="150" w:lineRule="exact"/>
        <w:ind w:firstLine="0" w:firstLineChars="0"/>
        <w:textAlignment w:val="auto"/>
        <w:rPr>
          <w:rFonts w:ascii="Calibri" w:hAnsi="Calibri"/>
          <w:color w:val="auto"/>
          <w:sz w:val="15"/>
          <w:szCs w:val="15"/>
          <w:highlight w:val="none"/>
        </w:rPr>
      </w:pPr>
    </w:p>
    <w:p>
      <w:pPr>
        <w:tabs>
          <w:tab w:val="left" w:pos="757"/>
        </w:tabs>
        <w:adjustRightInd/>
        <w:spacing w:line="340" w:lineRule="exact"/>
        <w:ind w:left="158" w:firstLine="0" w:firstLineChars="0"/>
        <w:textAlignment w:val="auto"/>
        <w:rPr>
          <w:rFonts w:ascii="宋体" w:hAnsi="宋体" w:cs="宋体"/>
          <w:color w:val="auto"/>
          <w:szCs w:val="24"/>
          <w:highlight w:val="none"/>
        </w:rPr>
      </w:pPr>
      <w:bookmarkStart w:id="779" w:name="_bookmark120"/>
      <w:bookmarkEnd w:id="779"/>
      <w:r>
        <w:rPr>
          <w:rFonts w:ascii="宋体" w:hAnsi="宋体" w:cs="宋体"/>
          <w:color w:val="auto"/>
          <w:szCs w:val="24"/>
          <w:highlight w:val="none"/>
        </w:rPr>
        <w:t>7.4</w:t>
      </w:r>
      <w:r>
        <w:rPr>
          <w:rFonts w:ascii="宋体" w:hAnsi="宋体" w:cs="宋体"/>
          <w:color w:val="auto"/>
          <w:szCs w:val="24"/>
          <w:highlight w:val="none"/>
        </w:rPr>
        <w:tab/>
      </w:r>
      <w:r>
        <w:rPr>
          <w:rFonts w:ascii="宋体" w:hAnsi="宋体" w:cs="宋体"/>
          <w:color w:val="auto"/>
          <w:szCs w:val="24"/>
          <w:highlight w:val="none"/>
        </w:rPr>
        <w:t>超大件和超重件的运输</w:t>
      </w:r>
    </w:p>
    <w:p>
      <w:pPr>
        <w:adjustRightInd/>
        <w:spacing w:before="5" w:line="240" w:lineRule="exact"/>
        <w:ind w:firstLine="0" w:firstLineChars="0"/>
        <w:textAlignment w:val="auto"/>
        <w:rPr>
          <w:rFonts w:ascii="Calibri" w:hAnsi="Calibri"/>
          <w:color w:val="auto"/>
          <w:szCs w:val="24"/>
          <w:highlight w:val="none"/>
        </w:rPr>
      </w:pPr>
    </w:p>
    <w:p>
      <w:pPr>
        <w:tabs>
          <w:tab w:val="left" w:pos="8456"/>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运输</w:t>
      </w:r>
      <w:r>
        <w:rPr>
          <w:rFonts w:ascii="宋体" w:hAnsi="宋体"/>
          <w:color w:val="auto"/>
          <w:spacing w:val="-3"/>
          <w:sz w:val="21"/>
          <w:szCs w:val="21"/>
          <w:highlight w:val="none"/>
        </w:rPr>
        <w:t>超</w:t>
      </w:r>
      <w:r>
        <w:rPr>
          <w:rFonts w:ascii="宋体" w:hAnsi="宋体"/>
          <w:color w:val="auto"/>
          <w:sz w:val="21"/>
          <w:szCs w:val="21"/>
          <w:highlight w:val="none"/>
        </w:rPr>
        <w:t>大</w:t>
      </w:r>
      <w:r>
        <w:rPr>
          <w:rFonts w:ascii="宋体" w:hAnsi="宋体"/>
          <w:color w:val="auto"/>
          <w:spacing w:val="-3"/>
          <w:sz w:val="21"/>
          <w:szCs w:val="21"/>
          <w:highlight w:val="none"/>
        </w:rPr>
        <w:t>件</w:t>
      </w:r>
      <w:r>
        <w:rPr>
          <w:rFonts w:ascii="宋体" w:hAnsi="宋体"/>
          <w:color w:val="auto"/>
          <w:sz w:val="21"/>
          <w:szCs w:val="21"/>
          <w:highlight w:val="none"/>
        </w:rPr>
        <w:t>或</w:t>
      </w:r>
      <w:r>
        <w:rPr>
          <w:rFonts w:ascii="宋体" w:hAnsi="宋体"/>
          <w:color w:val="auto"/>
          <w:spacing w:val="-3"/>
          <w:sz w:val="21"/>
          <w:szCs w:val="21"/>
          <w:highlight w:val="none"/>
        </w:rPr>
        <w:t>超</w:t>
      </w:r>
      <w:r>
        <w:rPr>
          <w:rFonts w:ascii="宋体" w:hAnsi="宋体"/>
          <w:color w:val="auto"/>
          <w:sz w:val="21"/>
          <w:szCs w:val="21"/>
          <w:highlight w:val="none"/>
        </w:rPr>
        <w:t>重</w:t>
      </w:r>
      <w:r>
        <w:rPr>
          <w:rFonts w:ascii="宋体" w:hAnsi="宋体"/>
          <w:color w:val="auto"/>
          <w:spacing w:val="-3"/>
          <w:sz w:val="21"/>
          <w:szCs w:val="21"/>
          <w:highlight w:val="none"/>
        </w:rPr>
        <w:t>件</w:t>
      </w:r>
      <w:r>
        <w:rPr>
          <w:rFonts w:ascii="宋体" w:hAnsi="宋体"/>
          <w:color w:val="auto"/>
          <w:sz w:val="21"/>
          <w:szCs w:val="21"/>
          <w:highlight w:val="none"/>
        </w:rPr>
        <w:t>所</w:t>
      </w:r>
      <w:r>
        <w:rPr>
          <w:rFonts w:ascii="宋体" w:hAnsi="宋体"/>
          <w:color w:val="auto"/>
          <w:spacing w:val="-3"/>
          <w:sz w:val="21"/>
          <w:szCs w:val="21"/>
          <w:highlight w:val="none"/>
        </w:rPr>
        <w:t>需</w:t>
      </w:r>
      <w:r>
        <w:rPr>
          <w:rFonts w:ascii="宋体" w:hAnsi="宋体"/>
          <w:color w:val="auto"/>
          <w:sz w:val="21"/>
          <w:szCs w:val="21"/>
          <w:highlight w:val="none"/>
        </w:rPr>
        <w:t>的道</w:t>
      </w:r>
      <w:r>
        <w:rPr>
          <w:rFonts w:ascii="宋体" w:hAnsi="宋体"/>
          <w:color w:val="auto"/>
          <w:spacing w:val="-3"/>
          <w:sz w:val="21"/>
          <w:szCs w:val="21"/>
          <w:highlight w:val="none"/>
        </w:rPr>
        <w:t>路</w:t>
      </w:r>
      <w:r>
        <w:rPr>
          <w:rFonts w:ascii="宋体" w:hAnsi="宋体"/>
          <w:color w:val="auto"/>
          <w:sz w:val="21"/>
          <w:szCs w:val="21"/>
          <w:highlight w:val="none"/>
        </w:rPr>
        <w:t>和</w:t>
      </w:r>
      <w:r>
        <w:rPr>
          <w:rFonts w:ascii="宋体" w:hAnsi="宋体"/>
          <w:color w:val="auto"/>
          <w:spacing w:val="-3"/>
          <w:sz w:val="21"/>
          <w:szCs w:val="21"/>
          <w:highlight w:val="none"/>
        </w:rPr>
        <w:t>桥</w:t>
      </w:r>
      <w:r>
        <w:rPr>
          <w:rFonts w:ascii="宋体" w:hAnsi="宋体"/>
          <w:color w:val="auto"/>
          <w:sz w:val="21"/>
          <w:szCs w:val="21"/>
          <w:highlight w:val="none"/>
        </w:rPr>
        <w:t>梁</w:t>
      </w:r>
      <w:r>
        <w:rPr>
          <w:rFonts w:ascii="宋体" w:hAnsi="宋体"/>
          <w:color w:val="auto"/>
          <w:spacing w:val="-3"/>
          <w:sz w:val="21"/>
          <w:szCs w:val="21"/>
          <w:highlight w:val="none"/>
        </w:rPr>
        <w:t>临</w:t>
      </w:r>
      <w:r>
        <w:rPr>
          <w:rFonts w:ascii="宋体" w:hAnsi="宋体"/>
          <w:color w:val="auto"/>
          <w:sz w:val="21"/>
          <w:szCs w:val="21"/>
          <w:highlight w:val="none"/>
        </w:rPr>
        <w:t>时</w:t>
      </w:r>
      <w:r>
        <w:rPr>
          <w:rFonts w:ascii="宋体" w:hAnsi="宋体"/>
          <w:color w:val="auto"/>
          <w:spacing w:val="-3"/>
          <w:sz w:val="21"/>
          <w:szCs w:val="21"/>
          <w:highlight w:val="none"/>
        </w:rPr>
        <w:t>加</w:t>
      </w:r>
      <w:r>
        <w:rPr>
          <w:rFonts w:ascii="宋体" w:hAnsi="宋体"/>
          <w:color w:val="auto"/>
          <w:sz w:val="21"/>
          <w:szCs w:val="21"/>
          <w:highlight w:val="none"/>
        </w:rPr>
        <w:t>固</w:t>
      </w:r>
      <w:r>
        <w:rPr>
          <w:rFonts w:ascii="宋体" w:hAnsi="宋体"/>
          <w:color w:val="auto"/>
          <w:spacing w:val="-3"/>
          <w:sz w:val="21"/>
          <w:szCs w:val="21"/>
          <w:highlight w:val="none"/>
        </w:rPr>
        <w:t>改</w:t>
      </w:r>
      <w:r>
        <w:rPr>
          <w:rFonts w:ascii="宋体" w:hAnsi="宋体"/>
          <w:color w:val="auto"/>
          <w:sz w:val="21"/>
          <w:szCs w:val="21"/>
          <w:highlight w:val="none"/>
        </w:rPr>
        <w:t>造等</w:t>
      </w:r>
      <w:r>
        <w:rPr>
          <w:rFonts w:ascii="宋体" w:hAnsi="宋体"/>
          <w:color w:val="auto"/>
          <w:spacing w:val="-3"/>
          <w:sz w:val="21"/>
          <w:szCs w:val="21"/>
          <w:highlight w:val="none"/>
        </w:rPr>
        <w:t>费</w:t>
      </w:r>
      <w:r>
        <w:rPr>
          <w:rFonts w:ascii="宋体" w:hAnsi="宋体"/>
          <w:color w:val="auto"/>
          <w:sz w:val="21"/>
          <w:szCs w:val="21"/>
          <w:highlight w:val="none"/>
        </w:rPr>
        <w:t>用</w:t>
      </w:r>
      <w:r>
        <w:rPr>
          <w:rFonts w:ascii="宋体" w:hAnsi="宋体"/>
          <w:color w:val="auto"/>
          <w:spacing w:val="-3"/>
          <w:sz w:val="21"/>
          <w:szCs w:val="21"/>
          <w:highlight w:val="none"/>
        </w:rPr>
        <w:t>的</w:t>
      </w:r>
      <w:r>
        <w:rPr>
          <w:rFonts w:ascii="宋体" w:hAnsi="宋体"/>
          <w:color w:val="auto"/>
          <w:sz w:val="21"/>
          <w:szCs w:val="21"/>
          <w:highlight w:val="none"/>
        </w:rPr>
        <w:t>承</w:t>
      </w:r>
      <w:r>
        <w:rPr>
          <w:rFonts w:ascii="宋体" w:hAnsi="宋体"/>
          <w:color w:val="auto"/>
          <w:spacing w:val="-3"/>
          <w:sz w:val="21"/>
          <w:szCs w:val="21"/>
          <w:highlight w:val="none"/>
        </w:rPr>
        <w:t>担</w:t>
      </w:r>
      <w:r>
        <w:rPr>
          <w:rFonts w:ascii="宋体" w:hAnsi="宋体"/>
          <w:color w:val="auto"/>
          <w:sz w:val="21"/>
          <w:szCs w:val="21"/>
          <w:highlight w:val="none"/>
        </w:rPr>
        <w:t>人</w:t>
      </w:r>
      <w:r>
        <w:rPr>
          <w:rFonts w:ascii="宋体" w:hAnsi="宋体"/>
          <w:color w:val="auto"/>
          <w:spacing w:val="-2"/>
          <w:sz w:val="21"/>
          <w:szCs w:val="21"/>
          <w:highlight w:val="none"/>
        </w:rPr>
        <w:t>：</w:t>
      </w:r>
      <w:r>
        <w:rPr>
          <w:rFonts w:hint="eastAsia" w:ascii="宋体" w:hAnsi="宋体"/>
          <w:color w:val="auto"/>
          <w:sz w:val="21"/>
          <w:szCs w:val="21"/>
          <w:highlight w:val="none"/>
          <w:u w:val="single"/>
        </w:rPr>
        <w:t>承包人</w:t>
      </w:r>
      <w:r>
        <w:rPr>
          <w:rFonts w:ascii="宋体" w:hAnsi="宋体"/>
          <w:color w:val="auto"/>
          <w:sz w:val="21"/>
          <w:szCs w:val="21"/>
          <w:highlight w:val="none"/>
          <w:u w:val="single" w:color="000000"/>
        </w:rPr>
        <w:tab/>
      </w:r>
    </w:p>
    <w:p>
      <w:pPr>
        <w:adjustRightInd/>
        <w:spacing w:before="1" w:line="240" w:lineRule="exact"/>
        <w:ind w:firstLine="0" w:firstLineChars="0"/>
        <w:textAlignment w:val="auto"/>
        <w:rPr>
          <w:rFonts w:ascii="Calibri" w:hAnsi="Calibri"/>
          <w:color w:val="auto"/>
          <w:szCs w:val="24"/>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80" w:name="_bookmark121"/>
      <w:bookmarkEnd w:id="780"/>
      <w:r>
        <w:rPr>
          <w:rFonts w:ascii="宋体" w:hAnsi="宋体" w:cs="宋体"/>
          <w:color w:val="auto"/>
          <w:spacing w:val="1"/>
          <w:sz w:val="28"/>
          <w:szCs w:val="28"/>
          <w:highlight w:val="none"/>
        </w:rPr>
        <w:t>8</w:t>
      </w:r>
      <w:r>
        <w:rPr>
          <w:rFonts w:ascii="宋体" w:hAnsi="宋体" w:cs="宋体"/>
          <w:color w:val="auto"/>
          <w:spacing w:val="-2"/>
          <w:sz w:val="28"/>
          <w:szCs w:val="28"/>
          <w:highlight w:val="none"/>
        </w:rPr>
        <w:t>.</w:t>
      </w:r>
      <w:r>
        <w:rPr>
          <w:rFonts w:ascii="宋体" w:hAnsi="宋体" w:cs="宋体"/>
          <w:color w:val="auto"/>
          <w:sz w:val="28"/>
          <w:szCs w:val="28"/>
          <w:highlight w:val="none"/>
        </w:rPr>
        <w:t>测量</w:t>
      </w:r>
      <w:r>
        <w:rPr>
          <w:rFonts w:ascii="宋体" w:hAnsi="宋体" w:cs="宋体"/>
          <w:color w:val="auto"/>
          <w:spacing w:val="-3"/>
          <w:sz w:val="28"/>
          <w:szCs w:val="28"/>
          <w:highlight w:val="none"/>
        </w:rPr>
        <w:t>放</w:t>
      </w:r>
      <w:r>
        <w:rPr>
          <w:rFonts w:ascii="宋体" w:hAnsi="宋体" w:cs="宋体"/>
          <w:color w:val="auto"/>
          <w:sz w:val="28"/>
          <w:szCs w:val="28"/>
          <w:highlight w:val="none"/>
        </w:rPr>
        <w:t>线</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81" w:name="_bookmark122"/>
      <w:bookmarkEnd w:id="781"/>
      <w:r>
        <w:rPr>
          <w:rFonts w:ascii="宋体" w:hAnsi="宋体" w:cs="宋体"/>
          <w:color w:val="auto"/>
          <w:szCs w:val="24"/>
          <w:highlight w:val="none"/>
        </w:rPr>
        <w:t>8.1</w:t>
      </w:r>
      <w:r>
        <w:rPr>
          <w:rFonts w:ascii="宋体" w:hAnsi="宋体" w:cs="宋体"/>
          <w:color w:val="auto"/>
          <w:szCs w:val="24"/>
          <w:highlight w:val="none"/>
        </w:rPr>
        <w:tab/>
      </w:r>
      <w:r>
        <w:rPr>
          <w:rFonts w:ascii="宋体" w:hAnsi="宋体" w:cs="宋体"/>
          <w:color w:val="auto"/>
          <w:szCs w:val="24"/>
          <w:highlight w:val="none"/>
        </w:rPr>
        <w:t>施工控制网</w:t>
      </w:r>
    </w:p>
    <w:p>
      <w:pPr>
        <w:adjustRightInd/>
        <w:spacing w:before="3" w:line="240" w:lineRule="exact"/>
        <w:ind w:firstLine="0" w:firstLineChars="0"/>
        <w:textAlignment w:val="auto"/>
        <w:rPr>
          <w:rFonts w:ascii="Calibri" w:hAnsi="Calibri"/>
          <w:color w:val="auto"/>
          <w:szCs w:val="24"/>
          <w:highlight w:val="none"/>
        </w:rPr>
      </w:pPr>
    </w:p>
    <w:p>
      <w:pPr>
        <w:adjustRightInd/>
        <w:spacing w:line="400" w:lineRule="exact"/>
        <w:ind w:firstLine="420"/>
        <w:textAlignment w:val="auto"/>
        <w:rPr>
          <w:rFonts w:ascii="宋体" w:hAnsi="宋体"/>
          <w:color w:val="auto"/>
          <w:sz w:val="21"/>
          <w:szCs w:val="21"/>
          <w:highlight w:val="none"/>
        </w:rPr>
      </w:pPr>
      <w:r>
        <w:rPr>
          <w:rFonts w:hint="eastAsia" w:ascii="宋体" w:hAnsi="宋体"/>
          <w:color w:val="auto"/>
          <w:sz w:val="21"/>
          <w:szCs w:val="21"/>
          <w:highlight w:val="none"/>
        </w:rPr>
        <w:t>8.1.1发包人通过监理人提供测量基准点、基准线和水准点及其书面资料的期限：</w:t>
      </w:r>
      <w:r>
        <w:rPr>
          <w:rFonts w:hint="eastAsia" w:ascii="宋体" w:hAnsi="宋体"/>
          <w:color w:val="auto"/>
          <w:sz w:val="21"/>
          <w:szCs w:val="21"/>
          <w:highlight w:val="none"/>
          <w:u w:val="single"/>
        </w:rPr>
        <w:t xml:space="preserve">合同签订后14天内       </w:t>
      </w:r>
      <w:r>
        <w:rPr>
          <w:rFonts w:hint="eastAsia" w:ascii="宋体" w:hAnsi="宋体"/>
          <w:color w:val="auto"/>
          <w:sz w:val="21"/>
          <w:szCs w:val="21"/>
          <w:highlight w:val="none"/>
        </w:rPr>
        <w:t xml:space="preserve">。 </w:t>
      </w:r>
    </w:p>
    <w:p>
      <w:pPr>
        <w:adjustRightInd/>
        <w:spacing w:line="400" w:lineRule="exact"/>
        <w:ind w:firstLine="420"/>
        <w:textAlignment w:val="auto"/>
        <w:rPr>
          <w:rFonts w:ascii="宋体" w:hAnsi="宋体"/>
          <w:color w:val="auto"/>
          <w:sz w:val="21"/>
          <w:szCs w:val="21"/>
          <w:highlight w:val="none"/>
        </w:rPr>
      </w:pPr>
      <w:r>
        <w:rPr>
          <w:rFonts w:hint="eastAsia" w:ascii="宋体" w:hAnsi="宋体"/>
          <w:color w:val="auto"/>
          <w:sz w:val="21"/>
          <w:szCs w:val="21"/>
          <w:highlight w:val="none"/>
        </w:rPr>
        <w:t>承包人测设施工控制网的要求：</w:t>
      </w:r>
      <w:r>
        <w:rPr>
          <w:rFonts w:hint="eastAsia" w:ascii="宋体" w:hAnsi="宋体"/>
          <w:color w:val="auto"/>
          <w:sz w:val="21"/>
          <w:szCs w:val="21"/>
          <w:highlight w:val="none"/>
          <w:u w:val="single"/>
        </w:rPr>
        <w:t xml:space="preserve">    由承包人依据监理人提供的测量基准点、基准线和水准点以及国家的工程测量技术规范和合同要求的工程精度，测设自己的施工控制网     </w:t>
      </w:r>
      <w:r>
        <w:rPr>
          <w:rFonts w:hint="eastAsia" w:ascii="宋体" w:hAnsi="宋体"/>
          <w:color w:val="auto"/>
          <w:sz w:val="21"/>
          <w:szCs w:val="21"/>
          <w:highlight w:val="none"/>
        </w:rPr>
        <w:t xml:space="preserve">。 </w:t>
      </w:r>
    </w:p>
    <w:p>
      <w:pPr>
        <w:adjustRightInd/>
        <w:spacing w:line="400" w:lineRule="exact"/>
        <w:ind w:firstLine="420"/>
        <w:textAlignment w:val="auto"/>
        <w:rPr>
          <w:rFonts w:ascii="宋体" w:hAnsi="宋体"/>
          <w:color w:val="auto"/>
          <w:sz w:val="21"/>
          <w:szCs w:val="21"/>
          <w:highlight w:val="none"/>
          <w:u w:val="single"/>
        </w:rPr>
      </w:pPr>
      <w:r>
        <w:rPr>
          <w:rFonts w:hint="eastAsia" w:ascii="宋体" w:hAnsi="宋体"/>
          <w:color w:val="auto"/>
          <w:sz w:val="21"/>
          <w:szCs w:val="21"/>
          <w:highlight w:val="none"/>
        </w:rPr>
        <w:t>承包人将施工控制网资料报送监理人审批的期限：</w:t>
      </w:r>
      <w:r>
        <w:rPr>
          <w:rFonts w:hint="eastAsia" w:ascii="宋体" w:hAnsi="宋体"/>
          <w:color w:val="auto"/>
          <w:sz w:val="21"/>
          <w:szCs w:val="21"/>
          <w:highlight w:val="none"/>
          <w:u w:val="single"/>
        </w:rPr>
        <w:t xml:space="preserve">  在收到监理人按照通用合同条款第11.1.1项发出的开工通知后7天内   </w:t>
      </w:r>
      <w:r>
        <w:rPr>
          <w:rFonts w:hint="eastAsia" w:ascii="宋体" w:hAnsi="宋体"/>
          <w:color w:val="auto"/>
          <w:sz w:val="21"/>
          <w:szCs w:val="21"/>
          <w:highlight w:val="none"/>
        </w:rPr>
        <w:t xml:space="preserve">。 </w:t>
      </w:r>
    </w:p>
    <w:p>
      <w:pPr>
        <w:tabs>
          <w:tab w:val="left" w:pos="1314"/>
          <w:tab w:val="left" w:pos="8456"/>
        </w:tabs>
        <w:adjustRightInd/>
        <w:spacing w:line="240" w:lineRule="auto"/>
        <w:ind w:left="578" w:firstLine="0" w:firstLineChars="0"/>
        <w:textAlignment w:val="auto"/>
        <w:rPr>
          <w:rFonts w:ascii="宋体" w:hAnsi="宋体" w:cs="宋体"/>
          <w:color w:val="auto"/>
          <w:sz w:val="21"/>
          <w:szCs w:val="21"/>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82" w:name="_bookmark123"/>
      <w:bookmarkEnd w:id="782"/>
      <w:r>
        <w:rPr>
          <w:rFonts w:ascii="宋体" w:hAnsi="宋体" w:cs="宋体"/>
          <w:color w:val="auto"/>
          <w:spacing w:val="1"/>
          <w:sz w:val="28"/>
          <w:szCs w:val="28"/>
          <w:highlight w:val="none"/>
        </w:rPr>
        <w:t>9</w:t>
      </w:r>
      <w:r>
        <w:rPr>
          <w:rFonts w:ascii="宋体" w:hAnsi="宋体" w:cs="宋体"/>
          <w:color w:val="auto"/>
          <w:spacing w:val="-2"/>
          <w:sz w:val="28"/>
          <w:szCs w:val="28"/>
          <w:highlight w:val="none"/>
        </w:rPr>
        <w:t>.</w:t>
      </w:r>
      <w:r>
        <w:rPr>
          <w:rFonts w:ascii="宋体" w:hAnsi="宋体" w:cs="宋体"/>
          <w:color w:val="auto"/>
          <w:sz w:val="28"/>
          <w:szCs w:val="28"/>
          <w:highlight w:val="none"/>
        </w:rPr>
        <w:t>施工</w:t>
      </w:r>
      <w:r>
        <w:rPr>
          <w:rFonts w:ascii="宋体" w:hAnsi="宋体" w:cs="宋体"/>
          <w:color w:val="auto"/>
          <w:spacing w:val="-3"/>
          <w:sz w:val="28"/>
          <w:szCs w:val="28"/>
          <w:highlight w:val="none"/>
        </w:rPr>
        <w:t>安</w:t>
      </w:r>
      <w:r>
        <w:rPr>
          <w:rFonts w:ascii="宋体" w:hAnsi="宋体" w:cs="宋体"/>
          <w:color w:val="auto"/>
          <w:sz w:val="28"/>
          <w:szCs w:val="28"/>
          <w:highlight w:val="none"/>
        </w:rPr>
        <w:t>全、</w:t>
      </w:r>
      <w:r>
        <w:rPr>
          <w:rFonts w:ascii="宋体" w:hAnsi="宋体" w:cs="宋体"/>
          <w:color w:val="auto"/>
          <w:spacing w:val="-3"/>
          <w:sz w:val="28"/>
          <w:szCs w:val="28"/>
          <w:highlight w:val="none"/>
        </w:rPr>
        <w:t>治安</w:t>
      </w:r>
      <w:r>
        <w:rPr>
          <w:rFonts w:ascii="宋体" w:hAnsi="宋体" w:cs="宋体"/>
          <w:color w:val="auto"/>
          <w:sz w:val="28"/>
          <w:szCs w:val="28"/>
          <w:highlight w:val="none"/>
        </w:rPr>
        <w:t>保卫和</w:t>
      </w:r>
      <w:r>
        <w:rPr>
          <w:rFonts w:ascii="宋体" w:hAnsi="宋体" w:cs="宋体"/>
          <w:color w:val="auto"/>
          <w:spacing w:val="-3"/>
          <w:sz w:val="28"/>
          <w:szCs w:val="28"/>
          <w:highlight w:val="none"/>
        </w:rPr>
        <w:t>环</w:t>
      </w:r>
      <w:r>
        <w:rPr>
          <w:rFonts w:ascii="宋体" w:hAnsi="宋体" w:cs="宋体"/>
          <w:color w:val="auto"/>
          <w:sz w:val="28"/>
          <w:szCs w:val="28"/>
          <w:highlight w:val="none"/>
        </w:rPr>
        <w:t>境保护</w:t>
      </w:r>
    </w:p>
    <w:p>
      <w:pPr>
        <w:adjustRightInd/>
        <w:spacing w:before="7" w:line="260" w:lineRule="exact"/>
        <w:ind w:firstLine="0" w:firstLineChars="0"/>
        <w:textAlignment w:val="auto"/>
        <w:rPr>
          <w:rFonts w:ascii="Calibri" w:hAnsi="Calibri"/>
          <w:color w:val="auto"/>
          <w:sz w:val="26"/>
          <w:szCs w:val="26"/>
          <w:highlight w:val="none"/>
        </w:rPr>
      </w:pPr>
    </w:p>
    <w:p>
      <w:pPr>
        <w:tabs>
          <w:tab w:val="left" w:pos="757"/>
        </w:tabs>
        <w:adjustRightInd/>
        <w:spacing w:line="240" w:lineRule="auto"/>
        <w:ind w:left="158" w:firstLine="0" w:firstLineChars="0"/>
        <w:textAlignment w:val="auto"/>
        <w:rPr>
          <w:rFonts w:ascii="宋体" w:hAnsi="宋体" w:cs="宋体"/>
          <w:color w:val="auto"/>
          <w:szCs w:val="24"/>
          <w:highlight w:val="none"/>
        </w:rPr>
      </w:pPr>
      <w:bookmarkStart w:id="783" w:name="_bookmark124"/>
      <w:bookmarkEnd w:id="783"/>
      <w:r>
        <w:rPr>
          <w:rFonts w:ascii="宋体" w:hAnsi="宋体" w:cs="宋体"/>
          <w:color w:val="auto"/>
          <w:szCs w:val="24"/>
          <w:highlight w:val="none"/>
        </w:rPr>
        <w:t>9.2</w:t>
      </w:r>
      <w:r>
        <w:rPr>
          <w:rFonts w:ascii="宋体" w:hAnsi="宋体" w:cs="宋体"/>
          <w:color w:val="auto"/>
          <w:szCs w:val="24"/>
          <w:highlight w:val="none"/>
        </w:rPr>
        <w:tab/>
      </w:r>
      <w:r>
        <w:rPr>
          <w:rFonts w:ascii="宋体" w:hAnsi="宋体" w:cs="宋体"/>
          <w:color w:val="auto"/>
          <w:szCs w:val="24"/>
          <w:highlight w:val="none"/>
        </w:rPr>
        <w:t>承包人的施工安全责任</w:t>
      </w:r>
    </w:p>
    <w:p>
      <w:pPr>
        <w:adjustRightInd/>
        <w:spacing w:before="3" w:line="240" w:lineRule="exact"/>
        <w:ind w:firstLine="0" w:firstLineChars="0"/>
        <w:textAlignment w:val="auto"/>
        <w:rPr>
          <w:rFonts w:ascii="Calibri" w:hAnsi="Calibri"/>
          <w:color w:val="auto"/>
          <w:szCs w:val="24"/>
          <w:highlight w:val="none"/>
        </w:rPr>
      </w:pPr>
    </w:p>
    <w:p>
      <w:pPr>
        <w:adjustRightInd/>
        <w:spacing w:line="400" w:lineRule="exact"/>
        <w:ind w:left="480" w:leftChars="200"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9.2.1承包人向监理人报送施工安全措施计划的期限：</w:t>
      </w:r>
      <w:r>
        <w:rPr>
          <w:rFonts w:hint="eastAsia" w:ascii="宋体" w:hAnsi="宋体"/>
          <w:color w:val="auto"/>
          <w:sz w:val="21"/>
          <w:szCs w:val="21"/>
          <w:highlight w:val="none"/>
          <w:u w:val="single"/>
        </w:rPr>
        <w:t>在收到监理人按照通用合同条款第</w:t>
      </w:r>
      <w:r>
        <w:rPr>
          <w:rFonts w:ascii="宋体" w:hAnsi="宋体"/>
          <w:color w:val="auto"/>
          <w:sz w:val="21"/>
          <w:szCs w:val="21"/>
          <w:highlight w:val="none"/>
          <w:u w:val="single"/>
        </w:rPr>
        <w:t>11.1.1</w:t>
      </w:r>
      <w:r>
        <w:rPr>
          <w:rFonts w:hint="eastAsia" w:ascii="宋体" w:hAnsi="宋体"/>
          <w:color w:val="auto"/>
          <w:sz w:val="21"/>
          <w:szCs w:val="21"/>
          <w:highlight w:val="none"/>
          <w:u w:val="single"/>
        </w:rPr>
        <w:t>项发出的开工通知后</w:t>
      </w:r>
      <w:r>
        <w:rPr>
          <w:rFonts w:ascii="宋体" w:hAnsi="宋体"/>
          <w:color w:val="auto"/>
          <w:sz w:val="21"/>
          <w:szCs w:val="21"/>
          <w:highlight w:val="none"/>
          <w:u w:val="single"/>
        </w:rPr>
        <w:t>7</w:t>
      </w:r>
      <w:r>
        <w:rPr>
          <w:rFonts w:hint="eastAsia" w:ascii="宋体" w:hAnsi="宋体"/>
          <w:color w:val="auto"/>
          <w:sz w:val="21"/>
          <w:szCs w:val="21"/>
          <w:highlight w:val="none"/>
          <w:u w:val="single"/>
        </w:rPr>
        <w:t>天内</w:t>
      </w:r>
      <w:r>
        <w:rPr>
          <w:rFonts w:hint="eastAsia" w:ascii="宋体" w:hAnsi="宋体"/>
          <w:color w:val="auto"/>
          <w:sz w:val="21"/>
          <w:szCs w:val="21"/>
          <w:highlight w:val="none"/>
        </w:rPr>
        <w:t>。</w:t>
      </w:r>
    </w:p>
    <w:p>
      <w:pPr>
        <w:adjustRightInd/>
        <w:spacing w:line="400" w:lineRule="exact"/>
        <w:ind w:left="480" w:leftChars="200"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监理人收到承包人报送的施工安全措施计划后应当在</w:t>
      </w:r>
      <w:r>
        <w:rPr>
          <w:rFonts w:hint="eastAsia" w:ascii="宋体" w:hAnsi="宋体"/>
          <w:color w:val="auto"/>
          <w:sz w:val="21"/>
          <w:szCs w:val="21"/>
          <w:highlight w:val="none"/>
          <w:u w:val="single"/>
        </w:rPr>
        <w:t xml:space="preserve">    7      </w:t>
      </w:r>
      <w:r>
        <w:rPr>
          <w:rFonts w:hint="eastAsia" w:ascii="宋体" w:hAnsi="宋体"/>
          <w:color w:val="auto"/>
          <w:sz w:val="21"/>
          <w:szCs w:val="21"/>
          <w:highlight w:val="none"/>
        </w:rPr>
        <w:t>天内给予批复。</w:t>
      </w:r>
    </w:p>
    <w:p>
      <w:pPr>
        <w:adjustRightInd/>
        <w:spacing w:before="4" w:line="150" w:lineRule="exact"/>
        <w:ind w:firstLine="0" w:firstLineChars="0"/>
        <w:textAlignment w:val="auto"/>
        <w:rPr>
          <w:rFonts w:ascii="Calibri" w:hAnsi="Calibri"/>
          <w:color w:val="auto"/>
          <w:sz w:val="15"/>
          <w:szCs w:val="15"/>
          <w:highlight w:val="none"/>
        </w:rPr>
      </w:pPr>
    </w:p>
    <w:p>
      <w:pPr>
        <w:tabs>
          <w:tab w:val="left" w:pos="757"/>
        </w:tabs>
        <w:adjustRightInd/>
        <w:spacing w:line="340" w:lineRule="exact"/>
        <w:ind w:left="158" w:firstLine="0" w:firstLineChars="0"/>
        <w:textAlignment w:val="auto"/>
        <w:rPr>
          <w:rFonts w:ascii="宋体" w:hAnsi="宋体" w:cs="宋体"/>
          <w:color w:val="auto"/>
          <w:szCs w:val="24"/>
          <w:highlight w:val="none"/>
        </w:rPr>
      </w:pPr>
      <w:bookmarkStart w:id="784" w:name="_bookmark125"/>
      <w:bookmarkEnd w:id="784"/>
      <w:r>
        <w:rPr>
          <w:rFonts w:ascii="宋体" w:hAnsi="宋体" w:cs="宋体"/>
          <w:color w:val="auto"/>
          <w:szCs w:val="24"/>
          <w:highlight w:val="none"/>
        </w:rPr>
        <w:t>9.3</w:t>
      </w:r>
      <w:r>
        <w:rPr>
          <w:rFonts w:ascii="宋体" w:hAnsi="宋体" w:cs="宋体"/>
          <w:color w:val="auto"/>
          <w:szCs w:val="24"/>
          <w:highlight w:val="none"/>
        </w:rPr>
        <w:tab/>
      </w:r>
      <w:r>
        <w:rPr>
          <w:rFonts w:ascii="宋体" w:hAnsi="宋体" w:cs="宋体"/>
          <w:color w:val="auto"/>
          <w:szCs w:val="24"/>
          <w:highlight w:val="none"/>
        </w:rPr>
        <w:t>治安保卫</w:t>
      </w:r>
    </w:p>
    <w:p>
      <w:pPr>
        <w:adjustRightInd/>
        <w:spacing w:before="5" w:line="240" w:lineRule="exact"/>
        <w:ind w:firstLine="0" w:firstLineChars="0"/>
        <w:textAlignment w:val="auto"/>
        <w:rPr>
          <w:rFonts w:ascii="Calibri" w:hAnsi="Calibri"/>
          <w:color w:val="auto"/>
          <w:szCs w:val="24"/>
          <w:highlight w:val="none"/>
        </w:rPr>
      </w:pPr>
    </w:p>
    <w:p>
      <w:pPr>
        <w:adjustRightInd/>
        <w:spacing w:line="400" w:lineRule="exact"/>
        <w:ind w:left="480" w:leftChars="200" w:firstLine="0" w:firstLineChars="0"/>
        <w:textAlignment w:val="auto"/>
        <w:rPr>
          <w:rFonts w:ascii="宋体" w:hAnsi="宋体"/>
          <w:color w:val="auto"/>
          <w:sz w:val="22"/>
          <w:szCs w:val="21"/>
          <w:highlight w:val="none"/>
        </w:rPr>
      </w:pPr>
      <w:r>
        <w:rPr>
          <w:rFonts w:hint="eastAsia" w:ascii="宋体" w:hAnsi="宋体"/>
          <w:color w:val="auto"/>
          <w:sz w:val="21"/>
          <w:szCs w:val="21"/>
          <w:highlight w:val="none"/>
        </w:rPr>
        <w:t>9.3.3施工场地治安管理计划和突发治安事件紧急预案的编制责任人：</w:t>
      </w:r>
      <w:r>
        <w:rPr>
          <w:rFonts w:hint="eastAsia" w:ascii="Calibri" w:hAnsi="宋体" w:cs="宋体"/>
          <w:color w:val="auto"/>
          <w:sz w:val="21"/>
          <w:szCs w:val="21"/>
          <w:highlight w:val="none"/>
          <w:u w:val="single"/>
        </w:rPr>
        <w:t>承包人</w:t>
      </w:r>
      <w:r>
        <w:rPr>
          <w:rFonts w:hint="eastAsia" w:ascii="宋体" w:hAnsi="宋体"/>
          <w:color w:val="auto"/>
          <w:sz w:val="22"/>
          <w:szCs w:val="21"/>
          <w:highlight w:val="none"/>
        </w:rPr>
        <w:t>。</w:t>
      </w:r>
    </w:p>
    <w:p>
      <w:pPr>
        <w:adjustRightInd/>
        <w:spacing w:before="1" w:line="220" w:lineRule="exact"/>
        <w:ind w:firstLine="0" w:firstLineChars="0"/>
        <w:textAlignment w:val="auto"/>
        <w:rPr>
          <w:rFonts w:ascii="Calibri" w:hAnsi="Calibri"/>
          <w:color w:val="auto"/>
          <w:sz w:val="22"/>
          <w:szCs w:val="22"/>
          <w:highlight w:val="none"/>
        </w:rPr>
      </w:pPr>
    </w:p>
    <w:p>
      <w:pPr>
        <w:tabs>
          <w:tab w:val="left" w:pos="757"/>
        </w:tabs>
        <w:adjustRightInd/>
        <w:spacing w:line="340" w:lineRule="exact"/>
        <w:ind w:left="158" w:firstLine="0" w:firstLineChars="0"/>
        <w:textAlignment w:val="auto"/>
        <w:rPr>
          <w:rFonts w:ascii="宋体" w:hAnsi="宋体" w:cs="宋体"/>
          <w:color w:val="auto"/>
          <w:szCs w:val="24"/>
          <w:highlight w:val="none"/>
        </w:rPr>
      </w:pPr>
      <w:bookmarkStart w:id="785" w:name="_bookmark126"/>
      <w:bookmarkEnd w:id="785"/>
      <w:r>
        <w:rPr>
          <w:rFonts w:ascii="宋体" w:hAnsi="宋体" w:cs="宋体"/>
          <w:color w:val="auto"/>
          <w:szCs w:val="24"/>
          <w:highlight w:val="none"/>
        </w:rPr>
        <w:t>9.4</w:t>
      </w:r>
      <w:r>
        <w:rPr>
          <w:rFonts w:ascii="宋体" w:hAnsi="宋体" w:cs="宋体"/>
          <w:color w:val="auto"/>
          <w:szCs w:val="24"/>
          <w:highlight w:val="none"/>
        </w:rPr>
        <w:tab/>
      </w:r>
      <w:r>
        <w:rPr>
          <w:rFonts w:ascii="宋体" w:hAnsi="宋体" w:cs="宋体"/>
          <w:color w:val="auto"/>
          <w:szCs w:val="24"/>
          <w:highlight w:val="none"/>
        </w:rPr>
        <w:t>环境保护</w:t>
      </w:r>
    </w:p>
    <w:p>
      <w:pPr>
        <w:adjustRightInd/>
        <w:spacing w:line="400" w:lineRule="exact"/>
        <w:ind w:left="480" w:leftChars="200"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9.4.3施工环保措施计划报送监理人审批的时间：</w:t>
      </w:r>
      <w:r>
        <w:rPr>
          <w:rFonts w:hint="eastAsia" w:ascii="宋体" w:hAnsi="宋体"/>
          <w:color w:val="auto"/>
          <w:sz w:val="21"/>
          <w:szCs w:val="21"/>
          <w:highlight w:val="none"/>
          <w:u w:val="single"/>
        </w:rPr>
        <w:t xml:space="preserve">在收到监理人按照通用合同条款第11.1.1项发出的开工通知后7天内   </w:t>
      </w:r>
      <w:r>
        <w:rPr>
          <w:rFonts w:hint="eastAsia" w:ascii="宋体" w:hAnsi="宋体"/>
          <w:color w:val="auto"/>
          <w:sz w:val="21"/>
          <w:szCs w:val="21"/>
          <w:highlight w:val="none"/>
        </w:rPr>
        <w:t>。</w:t>
      </w:r>
    </w:p>
    <w:p>
      <w:pPr>
        <w:adjustRightInd/>
        <w:spacing w:line="400" w:lineRule="exact"/>
        <w:ind w:left="480" w:leftChars="200"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监理人收到承包人报送的施工环保措施计划后应当在</w:t>
      </w:r>
      <w:r>
        <w:rPr>
          <w:rFonts w:hint="eastAsia" w:ascii="宋体" w:hAnsi="宋体"/>
          <w:color w:val="auto"/>
          <w:sz w:val="21"/>
          <w:szCs w:val="21"/>
          <w:highlight w:val="none"/>
          <w:u w:val="single"/>
        </w:rPr>
        <w:t xml:space="preserve">    7      </w:t>
      </w:r>
      <w:r>
        <w:rPr>
          <w:rFonts w:hint="eastAsia" w:ascii="宋体" w:hAnsi="宋体"/>
          <w:color w:val="auto"/>
          <w:sz w:val="21"/>
          <w:szCs w:val="21"/>
          <w:highlight w:val="none"/>
        </w:rPr>
        <w:t>天内给予批复。</w:t>
      </w:r>
    </w:p>
    <w:p>
      <w:pPr>
        <w:adjustRightInd/>
        <w:spacing w:before="7" w:line="150" w:lineRule="exact"/>
        <w:ind w:firstLine="0" w:firstLineChars="0"/>
        <w:textAlignment w:val="auto"/>
        <w:rPr>
          <w:rFonts w:ascii="Calibri" w:hAnsi="Calibri"/>
          <w:color w:val="auto"/>
          <w:sz w:val="15"/>
          <w:szCs w:val="15"/>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86" w:name="_bookmark127"/>
      <w:bookmarkEnd w:id="786"/>
      <w:r>
        <w:rPr>
          <w:rFonts w:ascii="宋体" w:hAnsi="宋体" w:cs="宋体"/>
          <w:color w:val="auto"/>
          <w:sz w:val="28"/>
          <w:szCs w:val="28"/>
          <w:highlight w:val="none"/>
        </w:rPr>
        <w:t>1</w:t>
      </w:r>
      <w:r>
        <w:rPr>
          <w:rFonts w:ascii="宋体" w:hAnsi="宋体" w:cs="宋体"/>
          <w:color w:val="auto"/>
          <w:spacing w:val="-2"/>
          <w:sz w:val="28"/>
          <w:szCs w:val="28"/>
          <w:highlight w:val="none"/>
        </w:rPr>
        <w:t>0</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进</w:t>
      </w:r>
      <w:r>
        <w:rPr>
          <w:rFonts w:ascii="宋体" w:hAnsi="宋体" w:cs="宋体"/>
          <w:color w:val="auto"/>
          <w:sz w:val="28"/>
          <w:szCs w:val="28"/>
          <w:highlight w:val="none"/>
        </w:rPr>
        <w:t>度计划</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787" w:name="_bookmark128"/>
      <w:bookmarkEnd w:id="787"/>
      <w:r>
        <w:rPr>
          <w:rFonts w:ascii="宋体" w:hAnsi="宋体" w:cs="宋体"/>
          <w:color w:val="auto"/>
          <w:szCs w:val="24"/>
          <w:highlight w:val="none"/>
        </w:rPr>
        <w:t>10.1</w:t>
      </w:r>
      <w:r>
        <w:rPr>
          <w:rFonts w:ascii="宋体" w:hAnsi="宋体" w:cs="宋体"/>
          <w:color w:val="auto"/>
          <w:szCs w:val="24"/>
          <w:highlight w:val="none"/>
        </w:rPr>
        <w:tab/>
      </w:r>
      <w:r>
        <w:rPr>
          <w:rFonts w:ascii="宋体" w:hAnsi="宋体" w:cs="宋体"/>
          <w:color w:val="auto"/>
          <w:szCs w:val="24"/>
          <w:highlight w:val="none"/>
        </w:rPr>
        <w:t>合同进度计划</w:t>
      </w:r>
    </w:p>
    <w:p>
      <w:pPr>
        <w:adjustRightInd/>
        <w:spacing w:before="5" w:line="240" w:lineRule="exact"/>
        <w:ind w:firstLine="0" w:firstLineChars="0"/>
        <w:textAlignment w:val="auto"/>
        <w:rPr>
          <w:rFonts w:ascii="Calibri" w:hAnsi="Calibri"/>
          <w:color w:val="auto"/>
          <w:szCs w:val="24"/>
          <w:highlight w:val="none"/>
        </w:rPr>
      </w:pPr>
    </w:p>
    <w:p>
      <w:pPr>
        <w:tabs>
          <w:tab w:val="left" w:pos="142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10.1.1</w:t>
      </w:r>
      <w:r>
        <w:rPr>
          <w:rFonts w:ascii="宋体" w:hAnsi="宋体" w:cs="宋体"/>
          <w:color w:val="auto"/>
          <w:sz w:val="21"/>
          <w:szCs w:val="21"/>
          <w:highlight w:val="none"/>
        </w:rPr>
        <w:tab/>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编</w:t>
      </w:r>
      <w:r>
        <w:rPr>
          <w:rFonts w:ascii="宋体" w:hAnsi="宋体"/>
          <w:color w:val="auto"/>
          <w:spacing w:val="-3"/>
          <w:sz w:val="21"/>
          <w:szCs w:val="21"/>
          <w:highlight w:val="none"/>
        </w:rPr>
        <w:t>制</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进度</w:t>
      </w:r>
      <w:r>
        <w:rPr>
          <w:rFonts w:ascii="宋体" w:hAnsi="宋体"/>
          <w:color w:val="auto"/>
          <w:spacing w:val="-3"/>
          <w:sz w:val="21"/>
          <w:szCs w:val="21"/>
          <w:highlight w:val="none"/>
        </w:rPr>
        <w:t>计</w:t>
      </w:r>
      <w:r>
        <w:rPr>
          <w:rFonts w:ascii="宋体" w:hAnsi="宋体"/>
          <w:color w:val="auto"/>
          <w:sz w:val="21"/>
          <w:szCs w:val="21"/>
          <w:highlight w:val="none"/>
        </w:rPr>
        <w:t>划</w:t>
      </w:r>
      <w:r>
        <w:rPr>
          <w:rFonts w:ascii="宋体" w:hAnsi="宋体"/>
          <w:color w:val="auto"/>
          <w:spacing w:val="-3"/>
          <w:sz w:val="21"/>
          <w:szCs w:val="21"/>
          <w:highlight w:val="none"/>
        </w:rPr>
        <w:t>和</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方</w:t>
      </w:r>
      <w:r>
        <w:rPr>
          <w:rFonts w:ascii="宋体" w:hAnsi="宋体"/>
          <w:color w:val="auto"/>
          <w:spacing w:val="-3"/>
          <w:sz w:val="21"/>
          <w:szCs w:val="21"/>
          <w:highlight w:val="none"/>
        </w:rPr>
        <w:t>案</w:t>
      </w:r>
      <w:r>
        <w:rPr>
          <w:rFonts w:ascii="宋体" w:hAnsi="宋体"/>
          <w:color w:val="auto"/>
          <w:sz w:val="21"/>
          <w:szCs w:val="21"/>
          <w:highlight w:val="none"/>
        </w:rPr>
        <w:t>说</w:t>
      </w:r>
      <w:r>
        <w:rPr>
          <w:rFonts w:ascii="宋体" w:hAnsi="宋体"/>
          <w:color w:val="auto"/>
          <w:spacing w:val="-3"/>
          <w:sz w:val="21"/>
          <w:szCs w:val="21"/>
          <w:highlight w:val="none"/>
        </w:rPr>
        <w:t>明</w:t>
      </w:r>
      <w:r>
        <w:rPr>
          <w:rFonts w:ascii="宋体" w:hAnsi="宋体"/>
          <w:color w:val="auto"/>
          <w:sz w:val="21"/>
          <w:szCs w:val="21"/>
          <w:highlight w:val="none"/>
        </w:rPr>
        <w:t>的内</w:t>
      </w:r>
      <w:r>
        <w:rPr>
          <w:rFonts w:ascii="宋体" w:hAnsi="宋体"/>
          <w:color w:val="auto"/>
          <w:spacing w:val="-3"/>
          <w:sz w:val="21"/>
          <w:szCs w:val="21"/>
          <w:highlight w:val="none"/>
        </w:rPr>
        <w:t>容</w:t>
      </w:r>
      <w:r>
        <w:rPr>
          <w:rFonts w:ascii="宋体" w:hAnsi="宋体"/>
          <w:color w:val="auto"/>
          <w:sz w:val="21"/>
          <w:szCs w:val="21"/>
          <w:highlight w:val="none"/>
        </w:rPr>
        <w:t>：</w:t>
      </w:r>
    </w:p>
    <w:p>
      <w:pPr>
        <w:tabs>
          <w:tab w:val="left" w:pos="1420"/>
        </w:tabs>
        <w:adjustRightInd/>
        <w:spacing w:line="240" w:lineRule="auto"/>
        <w:ind w:left="578" w:firstLine="0" w:firstLineChars="0"/>
        <w:textAlignment w:val="auto"/>
        <w:rPr>
          <w:rFonts w:ascii="宋体" w:hAnsi="宋体"/>
          <w:color w:val="auto"/>
          <w:sz w:val="21"/>
          <w:szCs w:val="21"/>
          <w:highlight w:val="none"/>
        </w:rPr>
      </w:pPr>
    </w:p>
    <w:p>
      <w:pPr>
        <w:tabs>
          <w:tab w:val="left" w:pos="1420"/>
        </w:tabs>
        <w:adjustRightInd/>
        <w:ind w:left="578" w:firstLine="0" w:firstLineChars="0"/>
        <w:textAlignment w:val="auto"/>
        <w:rPr>
          <w:rFonts w:ascii="宋体" w:hAnsi="宋体"/>
          <w:color w:val="auto"/>
          <w:sz w:val="21"/>
          <w:szCs w:val="21"/>
          <w:highlight w:val="none"/>
        </w:rPr>
      </w:pPr>
      <w:r>
        <w:rPr>
          <w:rFonts w:hint="eastAsia" w:ascii="宋体" w:hAnsi="宋体"/>
          <w:color w:val="auto"/>
          <w:kern w:val="2"/>
          <w:sz w:val="21"/>
          <w:szCs w:val="24"/>
          <w:highlight w:val="none"/>
          <w:u w:val="single"/>
        </w:rPr>
        <w:t>承包人须按投标阶段承诺的总进度计划关键线路目标，以及施工顺序和方法要点，向监理人提交更准确更详细的施工进度计划和施工方案。施工进度计划要求：（</w:t>
      </w:r>
      <w:r>
        <w:rPr>
          <w:rFonts w:ascii="宋体" w:hAnsi="宋体"/>
          <w:color w:val="auto"/>
          <w:kern w:val="2"/>
          <w:sz w:val="21"/>
          <w:szCs w:val="24"/>
          <w:highlight w:val="none"/>
          <w:u w:val="single"/>
        </w:rPr>
        <w:t>1</w:t>
      </w:r>
      <w:r>
        <w:rPr>
          <w:rFonts w:hint="eastAsia" w:ascii="宋体" w:hAnsi="宋体"/>
          <w:color w:val="auto"/>
          <w:kern w:val="2"/>
          <w:sz w:val="21"/>
          <w:szCs w:val="24"/>
          <w:highlight w:val="none"/>
          <w:u w:val="single"/>
        </w:rPr>
        <w:t>）、满足项目的进度目标，合理安排施工进度、保证施工质量和施工安全，有利节约施工成本。（2）、应准确、全面的表示施工项目中各个单位工程或各分项、分部工程的施工顺序、施工时间个衔接关系。施工方案应包含以下内容：（</w:t>
      </w:r>
      <w:r>
        <w:rPr>
          <w:rFonts w:ascii="宋体" w:hAnsi="宋体"/>
          <w:color w:val="auto"/>
          <w:kern w:val="2"/>
          <w:sz w:val="21"/>
          <w:szCs w:val="24"/>
          <w:highlight w:val="none"/>
          <w:u w:val="single"/>
        </w:rPr>
        <w:t>1</w:t>
      </w:r>
      <w:r>
        <w:rPr>
          <w:rFonts w:hint="eastAsia" w:ascii="宋体" w:hAnsi="宋体"/>
          <w:color w:val="auto"/>
          <w:kern w:val="2"/>
          <w:sz w:val="21"/>
          <w:szCs w:val="24"/>
          <w:highlight w:val="none"/>
          <w:u w:val="single"/>
        </w:rPr>
        <w:t>）、工程概况与特点。（</w:t>
      </w:r>
      <w:r>
        <w:rPr>
          <w:rFonts w:ascii="宋体" w:hAnsi="宋体"/>
          <w:color w:val="auto"/>
          <w:kern w:val="2"/>
          <w:sz w:val="21"/>
          <w:szCs w:val="24"/>
          <w:highlight w:val="none"/>
          <w:u w:val="single"/>
        </w:rPr>
        <w:t>2</w:t>
      </w:r>
      <w:r>
        <w:rPr>
          <w:rFonts w:hint="eastAsia" w:ascii="宋体" w:hAnsi="宋体"/>
          <w:color w:val="auto"/>
          <w:kern w:val="2"/>
          <w:sz w:val="21"/>
          <w:szCs w:val="24"/>
          <w:highlight w:val="none"/>
          <w:u w:val="single"/>
        </w:rPr>
        <w:t>）、施工平面布置图。（</w:t>
      </w:r>
      <w:r>
        <w:rPr>
          <w:rFonts w:ascii="宋体" w:hAnsi="宋体"/>
          <w:color w:val="auto"/>
          <w:kern w:val="2"/>
          <w:sz w:val="21"/>
          <w:szCs w:val="24"/>
          <w:highlight w:val="none"/>
          <w:u w:val="single"/>
        </w:rPr>
        <w:t>3</w:t>
      </w:r>
      <w:r>
        <w:rPr>
          <w:rFonts w:hint="eastAsia" w:ascii="宋体" w:hAnsi="宋体"/>
          <w:color w:val="auto"/>
          <w:kern w:val="2"/>
          <w:sz w:val="21"/>
          <w:szCs w:val="24"/>
          <w:highlight w:val="none"/>
          <w:u w:val="single"/>
        </w:rPr>
        <w:t>）、施工部署和管理体系。（</w:t>
      </w:r>
      <w:r>
        <w:rPr>
          <w:rFonts w:ascii="宋体" w:hAnsi="宋体"/>
          <w:color w:val="auto"/>
          <w:kern w:val="2"/>
          <w:sz w:val="21"/>
          <w:szCs w:val="24"/>
          <w:highlight w:val="none"/>
          <w:u w:val="single"/>
        </w:rPr>
        <w:t>4</w:t>
      </w:r>
      <w:r>
        <w:rPr>
          <w:rFonts w:hint="eastAsia" w:ascii="宋体" w:hAnsi="宋体"/>
          <w:color w:val="auto"/>
          <w:kern w:val="2"/>
          <w:sz w:val="21"/>
          <w:szCs w:val="24"/>
          <w:highlight w:val="none"/>
          <w:u w:val="single"/>
        </w:rPr>
        <w:t>）、施工方案及技术措施。（</w:t>
      </w:r>
      <w:r>
        <w:rPr>
          <w:rFonts w:ascii="宋体" w:hAnsi="宋体"/>
          <w:color w:val="auto"/>
          <w:kern w:val="2"/>
          <w:sz w:val="21"/>
          <w:szCs w:val="24"/>
          <w:highlight w:val="none"/>
          <w:u w:val="single"/>
        </w:rPr>
        <w:t>5</w:t>
      </w:r>
      <w:r>
        <w:rPr>
          <w:rFonts w:hint="eastAsia" w:ascii="宋体" w:hAnsi="宋体"/>
          <w:color w:val="auto"/>
          <w:kern w:val="2"/>
          <w:sz w:val="21"/>
          <w:szCs w:val="24"/>
          <w:highlight w:val="none"/>
          <w:u w:val="single"/>
        </w:rPr>
        <w:t>）、施工质量保证计划。（</w:t>
      </w:r>
      <w:r>
        <w:rPr>
          <w:rFonts w:ascii="宋体" w:hAnsi="宋体"/>
          <w:color w:val="auto"/>
          <w:kern w:val="2"/>
          <w:sz w:val="21"/>
          <w:szCs w:val="24"/>
          <w:highlight w:val="none"/>
          <w:u w:val="single"/>
        </w:rPr>
        <w:t>6</w:t>
      </w:r>
      <w:r>
        <w:rPr>
          <w:rFonts w:hint="eastAsia" w:ascii="宋体" w:hAnsi="宋体"/>
          <w:color w:val="auto"/>
          <w:kern w:val="2"/>
          <w:sz w:val="21"/>
          <w:szCs w:val="24"/>
          <w:highlight w:val="none"/>
          <w:u w:val="single"/>
        </w:rPr>
        <w:t>）、施工安全保证计划。（</w:t>
      </w:r>
      <w:r>
        <w:rPr>
          <w:rFonts w:ascii="宋体" w:hAnsi="宋体"/>
          <w:color w:val="auto"/>
          <w:kern w:val="2"/>
          <w:sz w:val="21"/>
          <w:szCs w:val="24"/>
          <w:highlight w:val="none"/>
          <w:u w:val="single"/>
        </w:rPr>
        <w:t>7</w:t>
      </w:r>
      <w:r>
        <w:rPr>
          <w:rFonts w:hint="eastAsia" w:ascii="宋体" w:hAnsi="宋体"/>
          <w:color w:val="auto"/>
          <w:kern w:val="2"/>
          <w:sz w:val="21"/>
          <w:szCs w:val="24"/>
          <w:highlight w:val="none"/>
          <w:u w:val="single"/>
        </w:rPr>
        <w:t>）、文明施工、环保节能保证计划以及辅助、配套的施工措施。（</w:t>
      </w:r>
      <w:r>
        <w:rPr>
          <w:rFonts w:ascii="宋体" w:hAnsi="宋体"/>
          <w:color w:val="auto"/>
          <w:kern w:val="2"/>
          <w:sz w:val="21"/>
          <w:szCs w:val="24"/>
          <w:highlight w:val="none"/>
          <w:u w:val="single"/>
        </w:rPr>
        <w:t>8</w:t>
      </w:r>
      <w:r>
        <w:rPr>
          <w:rFonts w:hint="eastAsia" w:ascii="宋体" w:hAnsi="宋体"/>
          <w:color w:val="auto"/>
          <w:kern w:val="2"/>
          <w:sz w:val="21"/>
          <w:szCs w:val="24"/>
          <w:highlight w:val="none"/>
          <w:u w:val="single"/>
        </w:rPr>
        <w:t>）、其他承包人认为应编制的内容。</w:t>
      </w:r>
    </w:p>
    <w:p>
      <w:pPr>
        <w:adjustRightInd/>
        <w:spacing w:before="5" w:line="100" w:lineRule="exact"/>
        <w:ind w:firstLine="0" w:firstLineChars="0"/>
        <w:textAlignment w:val="auto"/>
        <w:rPr>
          <w:rFonts w:ascii="Calibri" w:hAnsi="Calibri"/>
          <w:color w:val="auto"/>
          <w:sz w:val="10"/>
          <w:szCs w:val="10"/>
          <w:highlight w:val="none"/>
        </w:rPr>
      </w:pP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10.1.2</w:t>
      </w:r>
      <w:r>
        <w:rPr>
          <w:rFonts w:ascii="宋体" w:hAnsi="宋体" w:cs="宋体"/>
          <w:color w:val="auto"/>
          <w:sz w:val="21"/>
          <w:szCs w:val="21"/>
          <w:highlight w:val="none"/>
        </w:rPr>
        <w:tab/>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编</w:t>
      </w:r>
      <w:r>
        <w:rPr>
          <w:rFonts w:ascii="宋体" w:hAnsi="宋体"/>
          <w:color w:val="auto"/>
          <w:spacing w:val="-3"/>
          <w:sz w:val="21"/>
          <w:szCs w:val="21"/>
          <w:highlight w:val="none"/>
        </w:rPr>
        <w:t>制</w:t>
      </w:r>
      <w:r>
        <w:rPr>
          <w:rFonts w:ascii="宋体" w:hAnsi="宋体"/>
          <w:color w:val="auto"/>
          <w:sz w:val="21"/>
          <w:szCs w:val="21"/>
          <w:highlight w:val="none"/>
        </w:rPr>
        <w:t>分</w:t>
      </w:r>
      <w:r>
        <w:rPr>
          <w:rFonts w:ascii="宋体" w:hAnsi="宋体"/>
          <w:color w:val="auto"/>
          <w:spacing w:val="-3"/>
          <w:sz w:val="21"/>
          <w:szCs w:val="21"/>
          <w:highlight w:val="none"/>
        </w:rPr>
        <w:t>阶</w:t>
      </w:r>
      <w:r>
        <w:rPr>
          <w:rFonts w:ascii="宋体" w:hAnsi="宋体"/>
          <w:color w:val="auto"/>
          <w:sz w:val="21"/>
          <w:szCs w:val="21"/>
          <w:highlight w:val="none"/>
        </w:rPr>
        <w:t>段或</w:t>
      </w:r>
      <w:r>
        <w:rPr>
          <w:rFonts w:ascii="宋体" w:hAnsi="宋体"/>
          <w:color w:val="auto"/>
          <w:spacing w:val="-3"/>
          <w:sz w:val="21"/>
          <w:szCs w:val="21"/>
          <w:highlight w:val="none"/>
        </w:rPr>
        <w:t>分</w:t>
      </w:r>
      <w:r>
        <w:rPr>
          <w:rFonts w:ascii="宋体" w:hAnsi="宋体"/>
          <w:color w:val="auto"/>
          <w:sz w:val="21"/>
          <w:szCs w:val="21"/>
          <w:highlight w:val="none"/>
        </w:rPr>
        <w:t>项</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进</w:t>
      </w:r>
      <w:r>
        <w:rPr>
          <w:rFonts w:ascii="宋体" w:hAnsi="宋体"/>
          <w:color w:val="auto"/>
          <w:sz w:val="21"/>
          <w:szCs w:val="21"/>
          <w:highlight w:val="none"/>
        </w:rPr>
        <w:t>度</w:t>
      </w:r>
      <w:r>
        <w:rPr>
          <w:rFonts w:ascii="宋体" w:hAnsi="宋体"/>
          <w:color w:val="auto"/>
          <w:spacing w:val="-3"/>
          <w:sz w:val="21"/>
          <w:szCs w:val="21"/>
          <w:highlight w:val="none"/>
        </w:rPr>
        <w:t>计</w:t>
      </w:r>
      <w:r>
        <w:rPr>
          <w:rFonts w:ascii="宋体" w:hAnsi="宋体"/>
          <w:color w:val="auto"/>
          <w:sz w:val="21"/>
          <w:szCs w:val="21"/>
          <w:highlight w:val="none"/>
        </w:rPr>
        <w:t>划</w:t>
      </w:r>
      <w:r>
        <w:rPr>
          <w:rFonts w:ascii="宋体" w:hAnsi="宋体"/>
          <w:color w:val="auto"/>
          <w:spacing w:val="-3"/>
          <w:sz w:val="21"/>
          <w:szCs w:val="21"/>
          <w:highlight w:val="none"/>
        </w:rPr>
        <w:t>和</w:t>
      </w:r>
      <w:r>
        <w:rPr>
          <w:rFonts w:ascii="宋体" w:hAnsi="宋体"/>
          <w:color w:val="auto"/>
          <w:sz w:val="21"/>
          <w:szCs w:val="21"/>
          <w:highlight w:val="none"/>
        </w:rPr>
        <w:t>施工</w:t>
      </w:r>
      <w:r>
        <w:rPr>
          <w:rFonts w:ascii="宋体" w:hAnsi="宋体"/>
          <w:color w:val="auto"/>
          <w:spacing w:val="-3"/>
          <w:sz w:val="21"/>
          <w:szCs w:val="21"/>
          <w:highlight w:val="none"/>
        </w:rPr>
        <w:t>方</w:t>
      </w:r>
      <w:r>
        <w:rPr>
          <w:rFonts w:ascii="宋体" w:hAnsi="宋体"/>
          <w:color w:val="auto"/>
          <w:sz w:val="21"/>
          <w:szCs w:val="21"/>
          <w:highlight w:val="none"/>
        </w:rPr>
        <w:t>案</w:t>
      </w:r>
      <w:r>
        <w:rPr>
          <w:rFonts w:ascii="宋体" w:hAnsi="宋体"/>
          <w:color w:val="auto"/>
          <w:spacing w:val="-3"/>
          <w:sz w:val="21"/>
          <w:szCs w:val="21"/>
          <w:highlight w:val="none"/>
        </w:rPr>
        <w:t>说</w:t>
      </w:r>
      <w:r>
        <w:rPr>
          <w:rFonts w:ascii="宋体" w:hAnsi="宋体"/>
          <w:color w:val="auto"/>
          <w:sz w:val="21"/>
          <w:szCs w:val="21"/>
          <w:highlight w:val="none"/>
        </w:rPr>
        <w:t>明</w:t>
      </w:r>
      <w:r>
        <w:rPr>
          <w:rFonts w:ascii="宋体" w:hAnsi="宋体"/>
          <w:color w:val="auto"/>
          <w:spacing w:val="-3"/>
          <w:sz w:val="21"/>
          <w:szCs w:val="21"/>
          <w:highlight w:val="none"/>
        </w:rPr>
        <w:t>的</w:t>
      </w:r>
      <w:r>
        <w:rPr>
          <w:rFonts w:ascii="宋体" w:hAnsi="宋体"/>
          <w:color w:val="auto"/>
          <w:sz w:val="21"/>
          <w:szCs w:val="21"/>
          <w:highlight w:val="none"/>
        </w:rPr>
        <w:t>内</w:t>
      </w:r>
      <w:r>
        <w:rPr>
          <w:rFonts w:ascii="宋体" w:hAnsi="宋体"/>
          <w:color w:val="auto"/>
          <w:spacing w:val="-3"/>
          <w:sz w:val="21"/>
          <w:szCs w:val="21"/>
          <w:highlight w:val="none"/>
        </w:rPr>
        <w:t>容</w:t>
      </w:r>
      <w:r>
        <w:rPr>
          <w:rFonts w:ascii="宋体" w:hAnsi="宋体"/>
          <w:color w:val="auto"/>
          <w:sz w:val="21"/>
          <w:szCs w:val="21"/>
          <w:highlight w:val="none"/>
        </w:rPr>
        <w:t>及</w:t>
      </w:r>
      <w:r>
        <w:rPr>
          <w:rFonts w:ascii="宋体" w:hAnsi="宋体"/>
          <w:color w:val="auto"/>
          <w:spacing w:val="-3"/>
          <w:sz w:val="21"/>
          <w:szCs w:val="21"/>
          <w:highlight w:val="none"/>
        </w:rPr>
        <w:t>时</w:t>
      </w:r>
      <w:r>
        <w:rPr>
          <w:rFonts w:ascii="宋体" w:hAnsi="宋体"/>
          <w:color w:val="auto"/>
          <w:sz w:val="21"/>
          <w:szCs w:val="21"/>
          <w:highlight w:val="none"/>
        </w:rPr>
        <w:t>限要</w:t>
      </w:r>
      <w:r>
        <w:rPr>
          <w:rFonts w:ascii="宋体" w:hAnsi="宋体"/>
          <w:color w:val="auto"/>
          <w:spacing w:val="-2"/>
          <w:sz w:val="21"/>
          <w:szCs w:val="21"/>
          <w:highlight w:val="none"/>
        </w:rPr>
        <w:t>求</w:t>
      </w:r>
      <w:r>
        <w:rPr>
          <w:rFonts w:ascii="宋体" w:hAnsi="宋体"/>
          <w:color w:val="auto"/>
          <w:sz w:val="21"/>
          <w:szCs w:val="21"/>
          <w:highlight w:val="none"/>
        </w:rPr>
        <w:t>：</w:t>
      </w:r>
    </w:p>
    <w:p>
      <w:pPr>
        <w:adjustRightInd/>
        <w:spacing w:line="400" w:lineRule="exact"/>
        <w:ind w:left="480" w:leftChars="200" w:firstLine="0" w:firstLineChars="0"/>
        <w:textAlignment w:val="auto"/>
        <w:rPr>
          <w:rFonts w:ascii="宋体" w:hAnsi="宋体"/>
          <w:color w:val="auto"/>
          <w:sz w:val="21"/>
          <w:szCs w:val="21"/>
          <w:highlight w:val="none"/>
          <w:u w:val="single"/>
        </w:rPr>
      </w:pPr>
      <w:r>
        <w:rPr>
          <w:rFonts w:hint="eastAsia" w:ascii="宋体" w:hAnsi="宋体"/>
          <w:color w:val="auto"/>
          <w:sz w:val="21"/>
          <w:szCs w:val="21"/>
          <w:highlight w:val="none"/>
          <w:u w:val="single"/>
        </w:rPr>
        <w:t xml:space="preserve">  在合同进度计划的基础上编制分阶段和分项目的进度计划，特别是在合同进度计划关键线路上的单位工程或部分工程，并提交监理人审批  </w:t>
      </w:r>
      <w:r>
        <w:rPr>
          <w:rFonts w:ascii="宋体" w:hAnsi="宋体"/>
          <w:color w:val="auto"/>
          <w:sz w:val="21"/>
          <w:szCs w:val="21"/>
          <w:highlight w:val="none"/>
          <w:u w:val="single"/>
        </w:rPr>
        <w:t>。</w:t>
      </w: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10.1.3</w:t>
      </w:r>
      <w:r>
        <w:rPr>
          <w:rFonts w:ascii="宋体" w:hAnsi="宋体" w:cs="宋体"/>
          <w:color w:val="auto"/>
          <w:sz w:val="21"/>
          <w:szCs w:val="21"/>
          <w:highlight w:val="none"/>
        </w:rPr>
        <w:tab/>
      </w:r>
      <w:r>
        <w:rPr>
          <w:rFonts w:ascii="宋体" w:hAnsi="宋体"/>
          <w:color w:val="auto"/>
          <w:spacing w:val="-3"/>
          <w:sz w:val="21"/>
          <w:szCs w:val="21"/>
          <w:highlight w:val="none"/>
        </w:rPr>
        <w:t>群</w:t>
      </w:r>
      <w:r>
        <w:rPr>
          <w:rFonts w:ascii="宋体" w:hAnsi="宋体"/>
          <w:color w:val="auto"/>
          <w:sz w:val="21"/>
          <w:szCs w:val="21"/>
          <w:highlight w:val="none"/>
        </w:rPr>
        <w:t>体</w:t>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中</w:t>
      </w:r>
      <w:r>
        <w:rPr>
          <w:rFonts w:ascii="宋体" w:hAnsi="宋体"/>
          <w:color w:val="auto"/>
          <w:sz w:val="21"/>
          <w:szCs w:val="21"/>
          <w:highlight w:val="none"/>
        </w:rPr>
        <w:t>有</w:t>
      </w:r>
      <w:r>
        <w:rPr>
          <w:rFonts w:ascii="宋体" w:hAnsi="宋体"/>
          <w:color w:val="auto"/>
          <w:spacing w:val="-3"/>
          <w:sz w:val="21"/>
          <w:szCs w:val="21"/>
          <w:highlight w:val="none"/>
        </w:rPr>
        <w:t>关</w:t>
      </w:r>
      <w:r>
        <w:rPr>
          <w:rFonts w:ascii="宋体" w:hAnsi="宋体"/>
          <w:color w:val="auto"/>
          <w:sz w:val="21"/>
          <w:szCs w:val="21"/>
          <w:highlight w:val="none"/>
        </w:rPr>
        <w:t>编制</w:t>
      </w:r>
      <w:r>
        <w:rPr>
          <w:rFonts w:ascii="宋体" w:hAnsi="宋体"/>
          <w:color w:val="auto"/>
          <w:spacing w:val="-3"/>
          <w:sz w:val="21"/>
          <w:szCs w:val="21"/>
          <w:highlight w:val="none"/>
        </w:rPr>
        <w:t>进</w:t>
      </w:r>
      <w:r>
        <w:rPr>
          <w:rFonts w:ascii="宋体" w:hAnsi="宋体"/>
          <w:color w:val="auto"/>
          <w:sz w:val="21"/>
          <w:szCs w:val="21"/>
          <w:highlight w:val="none"/>
        </w:rPr>
        <w:t>度</w:t>
      </w:r>
      <w:r>
        <w:rPr>
          <w:rFonts w:ascii="宋体" w:hAnsi="宋体"/>
          <w:color w:val="auto"/>
          <w:spacing w:val="-3"/>
          <w:sz w:val="21"/>
          <w:szCs w:val="21"/>
          <w:highlight w:val="none"/>
        </w:rPr>
        <w:t>计</w:t>
      </w:r>
      <w:r>
        <w:rPr>
          <w:rFonts w:ascii="宋体" w:hAnsi="宋体"/>
          <w:color w:val="auto"/>
          <w:sz w:val="21"/>
          <w:szCs w:val="21"/>
          <w:highlight w:val="none"/>
        </w:rPr>
        <w:t>划</w:t>
      </w:r>
      <w:r>
        <w:rPr>
          <w:rFonts w:ascii="宋体" w:hAnsi="宋体"/>
          <w:color w:val="auto"/>
          <w:spacing w:val="-3"/>
          <w:sz w:val="21"/>
          <w:szCs w:val="21"/>
          <w:highlight w:val="none"/>
        </w:rPr>
        <w:t>和</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方</w:t>
      </w:r>
      <w:r>
        <w:rPr>
          <w:rFonts w:ascii="宋体" w:hAnsi="宋体"/>
          <w:color w:val="auto"/>
          <w:spacing w:val="-3"/>
          <w:sz w:val="21"/>
          <w:szCs w:val="21"/>
          <w:highlight w:val="none"/>
        </w:rPr>
        <w:t>案</w:t>
      </w:r>
      <w:r>
        <w:rPr>
          <w:rFonts w:ascii="宋体" w:hAnsi="宋体"/>
          <w:color w:val="auto"/>
          <w:sz w:val="21"/>
          <w:szCs w:val="21"/>
          <w:highlight w:val="none"/>
        </w:rPr>
        <w:t>说明</w:t>
      </w:r>
      <w:r>
        <w:rPr>
          <w:rFonts w:ascii="宋体" w:hAnsi="宋体"/>
          <w:color w:val="auto"/>
          <w:spacing w:val="-3"/>
          <w:sz w:val="21"/>
          <w:szCs w:val="21"/>
          <w:highlight w:val="none"/>
        </w:rPr>
        <w:t>的</w:t>
      </w:r>
      <w:r>
        <w:rPr>
          <w:rFonts w:ascii="宋体" w:hAnsi="宋体"/>
          <w:color w:val="auto"/>
          <w:sz w:val="21"/>
          <w:szCs w:val="21"/>
          <w:highlight w:val="none"/>
        </w:rPr>
        <w:t>要</w:t>
      </w:r>
      <w:r>
        <w:rPr>
          <w:rFonts w:ascii="宋体" w:hAnsi="宋体"/>
          <w:color w:val="auto"/>
          <w:spacing w:val="-3"/>
          <w:sz w:val="21"/>
          <w:szCs w:val="21"/>
          <w:highlight w:val="none"/>
        </w:rPr>
        <w:t>求</w:t>
      </w:r>
      <w:r>
        <w:rPr>
          <w:rFonts w:ascii="宋体" w:hAnsi="宋体"/>
          <w:color w:val="auto"/>
          <w:sz w:val="21"/>
          <w:szCs w:val="21"/>
          <w:highlight w:val="none"/>
        </w:rPr>
        <w:t>：</w:t>
      </w:r>
      <w:r>
        <w:rPr>
          <w:rFonts w:hint="eastAsia" w:ascii="宋体" w:hAnsi="宋体"/>
          <w:color w:val="auto"/>
          <w:sz w:val="21"/>
          <w:szCs w:val="21"/>
          <w:highlight w:val="none"/>
          <w:u w:val="single"/>
        </w:rPr>
        <w:t xml:space="preserve">无    </w:t>
      </w:r>
    </w:p>
    <w:p>
      <w:pPr>
        <w:adjustRightInd/>
        <w:spacing w:before="2"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88" w:name="_bookmark129"/>
      <w:bookmarkEnd w:id="788"/>
      <w:r>
        <w:rPr>
          <w:rFonts w:ascii="宋体" w:hAnsi="宋体" w:cs="宋体"/>
          <w:color w:val="auto"/>
          <w:szCs w:val="24"/>
          <w:highlight w:val="none"/>
        </w:rPr>
        <w:t>10.2</w:t>
      </w:r>
      <w:r>
        <w:rPr>
          <w:rFonts w:ascii="宋体" w:hAnsi="宋体" w:cs="宋体"/>
          <w:color w:val="auto"/>
          <w:szCs w:val="24"/>
          <w:highlight w:val="none"/>
        </w:rPr>
        <w:tab/>
      </w:r>
      <w:r>
        <w:rPr>
          <w:rFonts w:ascii="宋体" w:hAnsi="宋体" w:cs="宋体"/>
          <w:color w:val="auto"/>
          <w:szCs w:val="24"/>
          <w:highlight w:val="none"/>
        </w:rPr>
        <w:t>合同进度计划的修订</w:t>
      </w:r>
    </w:p>
    <w:p>
      <w:pPr>
        <w:adjustRightInd/>
        <w:spacing w:before="3" w:line="240" w:lineRule="exact"/>
        <w:ind w:firstLine="0" w:firstLineChars="0"/>
        <w:textAlignment w:val="auto"/>
        <w:rPr>
          <w:rFonts w:ascii="Calibri" w:hAnsi="Calibri"/>
          <w:color w:val="auto"/>
          <w:szCs w:val="24"/>
          <w:highlight w:val="none"/>
        </w:rPr>
      </w:pPr>
    </w:p>
    <w:p>
      <w:pPr>
        <w:adjustRightInd/>
        <w:spacing w:line="400" w:lineRule="exact"/>
        <w:ind w:left="480" w:leftChars="200"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10.2.1</w:t>
      </w:r>
      <w:r>
        <w:rPr>
          <w:rFonts w:hint="eastAsia" w:ascii="宋体" w:hAnsi="宋体"/>
          <w:color w:val="auto"/>
          <w:sz w:val="21"/>
          <w:szCs w:val="21"/>
          <w:highlight w:val="none"/>
        </w:rPr>
        <w:t>承包人报送修订合同进度计划申请报告和相关资料的期限：</w:t>
      </w:r>
      <w:r>
        <w:rPr>
          <w:rFonts w:hint="eastAsia" w:ascii="宋体" w:hAnsi="宋体"/>
          <w:color w:val="auto"/>
          <w:sz w:val="21"/>
          <w:szCs w:val="21"/>
          <w:highlight w:val="none"/>
          <w:u w:val="single"/>
        </w:rPr>
        <w:t xml:space="preserve">发现施工进度计划不符合合同要求或与工程的实际进度不一致后2天内  </w:t>
      </w:r>
      <w:r>
        <w:rPr>
          <w:rFonts w:hint="eastAsia" w:ascii="宋体" w:hAnsi="宋体"/>
          <w:color w:val="auto"/>
          <w:sz w:val="21"/>
          <w:szCs w:val="21"/>
          <w:highlight w:val="none"/>
        </w:rPr>
        <w:t>。</w:t>
      </w:r>
    </w:p>
    <w:p>
      <w:pPr>
        <w:adjustRightInd/>
        <w:spacing w:line="400" w:lineRule="exact"/>
        <w:ind w:left="480" w:leftChars="200"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监理人批复修订合同进度计划申请报告的期限：</w:t>
      </w:r>
      <w:r>
        <w:rPr>
          <w:rFonts w:hint="eastAsia" w:ascii="宋体" w:hAnsi="宋体"/>
          <w:color w:val="auto"/>
          <w:sz w:val="21"/>
          <w:szCs w:val="21"/>
          <w:highlight w:val="none"/>
          <w:u w:val="single"/>
        </w:rPr>
        <w:t>收到承包人报送的修订合同进度计划申请报告和相关资料</w:t>
      </w:r>
      <w:r>
        <w:rPr>
          <w:rFonts w:ascii="宋体" w:hAnsi="宋体"/>
          <w:color w:val="auto"/>
          <w:sz w:val="21"/>
          <w:szCs w:val="21"/>
          <w:highlight w:val="none"/>
          <w:u w:val="single"/>
        </w:rPr>
        <w:t>7</w:t>
      </w:r>
      <w:r>
        <w:rPr>
          <w:rFonts w:hint="eastAsia" w:ascii="宋体" w:hAnsi="宋体"/>
          <w:color w:val="auto"/>
          <w:sz w:val="21"/>
          <w:szCs w:val="21"/>
          <w:highlight w:val="none"/>
          <w:u w:val="single"/>
        </w:rPr>
        <w:t>天内</w:t>
      </w:r>
      <w:r>
        <w:rPr>
          <w:rFonts w:hint="eastAsia" w:ascii="宋体" w:hAnsi="宋体"/>
          <w:color w:val="auto"/>
          <w:sz w:val="21"/>
          <w:szCs w:val="21"/>
          <w:highlight w:val="none"/>
        </w:rPr>
        <w:t>。</w:t>
      </w:r>
    </w:p>
    <w:p>
      <w:pPr>
        <w:adjustRightInd/>
        <w:spacing w:line="400" w:lineRule="exact"/>
        <w:ind w:left="480" w:leftChars="200" w:firstLine="0" w:firstLineChars="0"/>
        <w:textAlignment w:val="auto"/>
        <w:rPr>
          <w:rFonts w:ascii="宋体" w:hAnsi="宋体"/>
          <w:color w:val="auto"/>
          <w:sz w:val="21"/>
          <w:szCs w:val="21"/>
          <w:highlight w:val="none"/>
          <w:u w:val="single"/>
        </w:rPr>
      </w:pPr>
      <w:r>
        <w:rPr>
          <w:rFonts w:ascii="宋体" w:hAnsi="宋体"/>
          <w:color w:val="auto"/>
          <w:sz w:val="21"/>
          <w:szCs w:val="21"/>
          <w:highlight w:val="none"/>
        </w:rPr>
        <w:t>10.2.2监理人批复修订合同进度计划的期限：</w:t>
      </w:r>
      <w:r>
        <w:rPr>
          <w:rFonts w:hint="eastAsia" w:ascii="宋体" w:hAnsi="宋体"/>
          <w:color w:val="auto"/>
          <w:sz w:val="21"/>
          <w:szCs w:val="21"/>
          <w:highlight w:val="none"/>
          <w:u w:val="single"/>
        </w:rPr>
        <w:t xml:space="preserve"> 收到承包人报送的修订合同进度计划</w:t>
      </w:r>
      <w:r>
        <w:rPr>
          <w:rFonts w:ascii="宋体" w:hAnsi="宋体"/>
          <w:color w:val="auto"/>
          <w:sz w:val="21"/>
          <w:szCs w:val="21"/>
          <w:highlight w:val="none"/>
          <w:u w:val="single"/>
        </w:rPr>
        <w:t>7</w:t>
      </w:r>
      <w:r>
        <w:rPr>
          <w:rFonts w:hint="eastAsia" w:ascii="宋体" w:hAnsi="宋体"/>
          <w:color w:val="auto"/>
          <w:sz w:val="21"/>
          <w:szCs w:val="21"/>
          <w:highlight w:val="none"/>
          <w:u w:val="single"/>
        </w:rPr>
        <w:t>天内 。</w:t>
      </w:r>
    </w:p>
    <w:p>
      <w:pPr>
        <w:adjustRightInd/>
        <w:spacing w:line="317" w:lineRule="auto"/>
        <w:ind w:firstLine="0" w:firstLineChars="0"/>
        <w:jc w:val="both"/>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89" w:name="_bookmark130"/>
      <w:bookmarkEnd w:id="789"/>
      <w:r>
        <w:rPr>
          <w:rFonts w:ascii="宋体" w:hAnsi="宋体" w:cs="宋体"/>
          <w:color w:val="auto"/>
          <w:sz w:val="28"/>
          <w:szCs w:val="28"/>
          <w:highlight w:val="none"/>
        </w:rPr>
        <w:t>1</w:t>
      </w:r>
      <w:r>
        <w:rPr>
          <w:rFonts w:ascii="宋体" w:hAnsi="宋体" w:cs="宋体"/>
          <w:color w:val="auto"/>
          <w:spacing w:val="-2"/>
          <w:sz w:val="28"/>
          <w:szCs w:val="28"/>
          <w:highlight w:val="none"/>
        </w:rPr>
        <w:t>1</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开</w:t>
      </w:r>
      <w:r>
        <w:rPr>
          <w:rFonts w:ascii="宋体" w:hAnsi="宋体" w:cs="宋体"/>
          <w:color w:val="auto"/>
          <w:sz w:val="28"/>
          <w:szCs w:val="28"/>
          <w:highlight w:val="none"/>
        </w:rPr>
        <w:t>工和</w:t>
      </w:r>
      <w:r>
        <w:rPr>
          <w:rFonts w:ascii="宋体" w:hAnsi="宋体" w:cs="宋体"/>
          <w:color w:val="auto"/>
          <w:spacing w:val="-3"/>
          <w:sz w:val="28"/>
          <w:szCs w:val="28"/>
          <w:highlight w:val="none"/>
        </w:rPr>
        <w:t>竣</w:t>
      </w:r>
      <w:r>
        <w:rPr>
          <w:rFonts w:ascii="宋体" w:hAnsi="宋体" w:cs="宋体"/>
          <w:color w:val="auto"/>
          <w:sz w:val="28"/>
          <w:szCs w:val="28"/>
          <w:highlight w:val="none"/>
        </w:rPr>
        <w:t>工</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790" w:name="_bookmark131"/>
      <w:bookmarkEnd w:id="790"/>
      <w:r>
        <w:rPr>
          <w:rFonts w:ascii="宋体" w:hAnsi="宋体" w:cs="宋体"/>
          <w:color w:val="auto"/>
          <w:szCs w:val="24"/>
          <w:highlight w:val="none"/>
        </w:rPr>
        <w:t>11.3</w:t>
      </w:r>
      <w:r>
        <w:rPr>
          <w:rFonts w:ascii="宋体" w:hAnsi="宋体" w:cs="宋体"/>
          <w:color w:val="auto"/>
          <w:szCs w:val="24"/>
          <w:highlight w:val="none"/>
        </w:rPr>
        <w:tab/>
      </w:r>
      <w:r>
        <w:rPr>
          <w:rFonts w:ascii="宋体" w:hAnsi="宋体" w:cs="宋体"/>
          <w:color w:val="auto"/>
          <w:szCs w:val="24"/>
          <w:highlight w:val="none"/>
        </w:rPr>
        <w:t>发包人的工期延误</w:t>
      </w:r>
    </w:p>
    <w:p>
      <w:pPr>
        <w:adjustRightInd/>
        <w:spacing w:before="3" w:line="240" w:lineRule="exact"/>
        <w:ind w:firstLine="0" w:firstLineChars="0"/>
        <w:textAlignment w:val="auto"/>
        <w:rPr>
          <w:rFonts w:ascii="Calibri" w:hAnsi="Calibri"/>
          <w:color w:val="auto"/>
          <w:szCs w:val="24"/>
          <w:highlight w:val="none"/>
        </w:rPr>
      </w:pPr>
    </w:p>
    <w:p>
      <w:pPr>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pacing w:val="-3"/>
          <w:sz w:val="21"/>
          <w:szCs w:val="21"/>
          <w:highlight w:val="none"/>
        </w:rPr>
        <w:t>8</w:t>
      </w:r>
      <w:r>
        <w:rPr>
          <w:rFonts w:ascii="宋体" w:hAnsi="宋体"/>
          <w:color w:val="auto"/>
          <w:spacing w:val="-44"/>
          <w:sz w:val="21"/>
          <w:szCs w:val="21"/>
          <w:highlight w:val="none"/>
        </w:rPr>
        <w:t>）</w:t>
      </w:r>
      <w:r>
        <w:rPr>
          <w:rFonts w:ascii="宋体" w:hAnsi="宋体"/>
          <w:color w:val="auto"/>
          <w:spacing w:val="-3"/>
          <w:sz w:val="21"/>
          <w:szCs w:val="21"/>
          <w:highlight w:val="none"/>
        </w:rPr>
        <w:t>发</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造</w:t>
      </w:r>
      <w:r>
        <w:rPr>
          <w:rFonts w:ascii="宋体" w:hAnsi="宋体"/>
          <w:color w:val="auto"/>
          <w:spacing w:val="-3"/>
          <w:sz w:val="21"/>
          <w:szCs w:val="21"/>
          <w:highlight w:val="none"/>
        </w:rPr>
        <w:t>成</w:t>
      </w:r>
      <w:r>
        <w:rPr>
          <w:rFonts w:ascii="宋体" w:hAnsi="宋体"/>
          <w:color w:val="auto"/>
          <w:sz w:val="21"/>
          <w:szCs w:val="21"/>
          <w:highlight w:val="none"/>
        </w:rPr>
        <w:t>工</w:t>
      </w:r>
      <w:r>
        <w:rPr>
          <w:rFonts w:ascii="宋体" w:hAnsi="宋体"/>
          <w:color w:val="auto"/>
          <w:spacing w:val="-3"/>
          <w:sz w:val="21"/>
          <w:szCs w:val="21"/>
          <w:highlight w:val="none"/>
        </w:rPr>
        <w:t>期</w:t>
      </w:r>
      <w:r>
        <w:rPr>
          <w:rFonts w:ascii="宋体" w:hAnsi="宋体"/>
          <w:color w:val="auto"/>
          <w:sz w:val="21"/>
          <w:szCs w:val="21"/>
          <w:highlight w:val="none"/>
        </w:rPr>
        <w:t>延</w:t>
      </w:r>
      <w:r>
        <w:rPr>
          <w:rFonts w:ascii="宋体" w:hAnsi="宋体"/>
          <w:color w:val="auto"/>
          <w:spacing w:val="-3"/>
          <w:sz w:val="21"/>
          <w:szCs w:val="21"/>
          <w:highlight w:val="none"/>
        </w:rPr>
        <w:t>误</w:t>
      </w:r>
      <w:r>
        <w:rPr>
          <w:rFonts w:ascii="宋体" w:hAnsi="宋体"/>
          <w:color w:val="auto"/>
          <w:sz w:val="21"/>
          <w:szCs w:val="21"/>
          <w:highlight w:val="none"/>
        </w:rPr>
        <w:t>的其</w:t>
      </w:r>
      <w:r>
        <w:rPr>
          <w:rFonts w:ascii="宋体" w:hAnsi="宋体"/>
          <w:color w:val="auto"/>
          <w:spacing w:val="-3"/>
          <w:sz w:val="21"/>
          <w:szCs w:val="21"/>
          <w:highlight w:val="none"/>
        </w:rPr>
        <w:t>他</w:t>
      </w:r>
      <w:r>
        <w:rPr>
          <w:rFonts w:ascii="宋体" w:hAnsi="宋体"/>
          <w:color w:val="auto"/>
          <w:sz w:val="21"/>
          <w:szCs w:val="21"/>
          <w:highlight w:val="none"/>
        </w:rPr>
        <w:t>原</w:t>
      </w:r>
      <w:r>
        <w:rPr>
          <w:rFonts w:ascii="宋体" w:hAnsi="宋体"/>
          <w:color w:val="auto"/>
          <w:spacing w:val="-3"/>
          <w:sz w:val="21"/>
          <w:szCs w:val="21"/>
          <w:highlight w:val="none"/>
        </w:rPr>
        <w:t>因</w:t>
      </w:r>
      <w:r>
        <w:rPr>
          <w:rFonts w:ascii="宋体" w:hAnsi="宋体"/>
          <w:color w:val="auto"/>
          <w:sz w:val="21"/>
          <w:szCs w:val="21"/>
          <w:highlight w:val="none"/>
        </w:rPr>
        <w:t>：</w:t>
      </w:r>
      <w:r>
        <w:rPr>
          <w:rFonts w:hint="eastAsia" w:ascii="宋体" w:hAnsi="宋体"/>
          <w:color w:val="auto"/>
          <w:sz w:val="21"/>
          <w:szCs w:val="21"/>
          <w:highlight w:val="none"/>
        </w:rPr>
        <w:t>无</w:t>
      </w:r>
    </w:p>
    <w:p>
      <w:pPr>
        <w:adjustRightInd/>
        <w:spacing w:line="200" w:lineRule="exact"/>
        <w:ind w:firstLine="0" w:firstLineChars="0"/>
        <w:textAlignment w:val="auto"/>
        <w:rPr>
          <w:rFonts w:ascii="Calibri" w:hAnsi="Calibri"/>
          <w:color w:val="auto"/>
          <w:sz w:val="20"/>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91" w:name="_bookmark132"/>
      <w:bookmarkEnd w:id="791"/>
      <w:r>
        <w:rPr>
          <w:rFonts w:ascii="宋体" w:hAnsi="宋体" w:cs="宋体"/>
          <w:color w:val="auto"/>
          <w:szCs w:val="24"/>
          <w:highlight w:val="none"/>
        </w:rPr>
        <w:t>1</w:t>
      </w:r>
      <w:r>
        <w:rPr>
          <w:rFonts w:ascii="宋体" w:hAnsi="宋体" w:cs="宋体"/>
          <w:color w:val="auto"/>
          <w:spacing w:val="-1"/>
          <w:szCs w:val="24"/>
          <w:highlight w:val="none"/>
        </w:rPr>
        <w:t>1</w:t>
      </w:r>
      <w:r>
        <w:rPr>
          <w:rFonts w:ascii="宋体" w:hAnsi="宋体" w:cs="宋体"/>
          <w:color w:val="auto"/>
          <w:szCs w:val="24"/>
          <w:highlight w:val="none"/>
        </w:rPr>
        <w:t>.4</w:t>
      </w:r>
      <w:r>
        <w:rPr>
          <w:rFonts w:ascii="宋体" w:hAnsi="宋体" w:cs="宋体"/>
          <w:color w:val="auto"/>
          <w:szCs w:val="24"/>
          <w:highlight w:val="none"/>
        </w:rPr>
        <w:tab/>
      </w:r>
      <w:r>
        <w:rPr>
          <w:rFonts w:ascii="宋体" w:hAnsi="宋体" w:cs="宋体"/>
          <w:color w:val="auto"/>
          <w:szCs w:val="24"/>
          <w:highlight w:val="none"/>
        </w:rPr>
        <w:t>异常恶劣的气候条件</w:t>
      </w:r>
    </w:p>
    <w:p>
      <w:pPr>
        <w:adjustRightInd/>
        <w:spacing w:before="3" w:line="240" w:lineRule="exact"/>
        <w:ind w:firstLine="0" w:firstLineChars="0"/>
        <w:textAlignment w:val="auto"/>
        <w:rPr>
          <w:rFonts w:ascii="Calibri" w:hAnsi="Calibri"/>
          <w:color w:val="auto"/>
          <w:szCs w:val="24"/>
          <w:highlight w:val="none"/>
        </w:rPr>
      </w:pPr>
    </w:p>
    <w:p>
      <w:pPr>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异常</w:t>
      </w:r>
      <w:r>
        <w:rPr>
          <w:rFonts w:ascii="宋体" w:hAnsi="宋体"/>
          <w:color w:val="auto"/>
          <w:spacing w:val="-3"/>
          <w:sz w:val="21"/>
          <w:szCs w:val="21"/>
          <w:highlight w:val="none"/>
        </w:rPr>
        <w:t>恶</w:t>
      </w:r>
      <w:r>
        <w:rPr>
          <w:rFonts w:ascii="宋体" w:hAnsi="宋体"/>
          <w:color w:val="auto"/>
          <w:sz w:val="21"/>
          <w:szCs w:val="21"/>
          <w:highlight w:val="none"/>
        </w:rPr>
        <w:t>劣</w:t>
      </w:r>
      <w:r>
        <w:rPr>
          <w:rFonts w:ascii="宋体" w:hAnsi="宋体"/>
          <w:color w:val="auto"/>
          <w:spacing w:val="-3"/>
          <w:sz w:val="21"/>
          <w:szCs w:val="21"/>
          <w:highlight w:val="none"/>
        </w:rPr>
        <w:t>的</w:t>
      </w:r>
      <w:r>
        <w:rPr>
          <w:rFonts w:ascii="宋体" w:hAnsi="宋体"/>
          <w:color w:val="auto"/>
          <w:sz w:val="21"/>
          <w:szCs w:val="21"/>
          <w:highlight w:val="none"/>
        </w:rPr>
        <w:t>气</w:t>
      </w:r>
      <w:r>
        <w:rPr>
          <w:rFonts w:ascii="宋体" w:hAnsi="宋体"/>
          <w:color w:val="auto"/>
          <w:spacing w:val="-3"/>
          <w:sz w:val="21"/>
          <w:szCs w:val="21"/>
          <w:highlight w:val="none"/>
        </w:rPr>
        <w:t>候</w:t>
      </w:r>
      <w:r>
        <w:rPr>
          <w:rFonts w:ascii="宋体" w:hAnsi="宋体"/>
          <w:color w:val="auto"/>
          <w:sz w:val="21"/>
          <w:szCs w:val="21"/>
          <w:highlight w:val="none"/>
        </w:rPr>
        <w:t>条</w:t>
      </w:r>
      <w:r>
        <w:rPr>
          <w:rFonts w:ascii="宋体" w:hAnsi="宋体"/>
          <w:color w:val="auto"/>
          <w:spacing w:val="-3"/>
          <w:sz w:val="21"/>
          <w:szCs w:val="21"/>
          <w:highlight w:val="none"/>
        </w:rPr>
        <w:t>件</w:t>
      </w:r>
      <w:r>
        <w:rPr>
          <w:rFonts w:ascii="宋体" w:hAnsi="宋体"/>
          <w:color w:val="auto"/>
          <w:sz w:val="21"/>
          <w:szCs w:val="21"/>
          <w:highlight w:val="none"/>
        </w:rPr>
        <w:t>的</w:t>
      </w:r>
      <w:r>
        <w:rPr>
          <w:rFonts w:ascii="宋体" w:hAnsi="宋体"/>
          <w:color w:val="auto"/>
          <w:spacing w:val="-3"/>
          <w:sz w:val="21"/>
          <w:szCs w:val="21"/>
          <w:highlight w:val="none"/>
        </w:rPr>
        <w:t>范</w:t>
      </w:r>
      <w:r>
        <w:rPr>
          <w:rFonts w:ascii="宋体" w:hAnsi="宋体"/>
          <w:color w:val="auto"/>
          <w:sz w:val="21"/>
          <w:szCs w:val="21"/>
          <w:highlight w:val="none"/>
        </w:rPr>
        <w:t>围和</w:t>
      </w:r>
      <w:r>
        <w:rPr>
          <w:rFonts w:ascii="宋体" w:hAnsi="宋体"/>
          <w:color w:val="auto"/>
          <w:spacing w:val="-3"/>
          <w:sz w:val="21"/>
          <w:szCs w:val="21"/>
          <w:highlight w:val="none"/>
        </w:rPr>
        <w:t>标</w:t>
      </w:r>
      <w:r>
        <w:rPr>
          <w:rFonts w:ascii="宋体" w:hAnsi="宋体"/>
          <w:color w:val="auto"/>
          <w:sz w:val="21"/>
          <w:szCs w:val="21"/>
          <w:highlight w:val="none"/>
        </w:rPr>
        <w:t>准：</w:t>
      </w:r>
      <w:r>
        <w:rPr>
          <w:rFonts w:hint="eastAsia" w:ascii="宋体" w:hAnsi="宋体"/>
          <w:color w:val="auto"/>
          <w:kern w:val="2"/>
          <w:sz w:val="21"/>
          <w:szCs w:val="24"/>
          <w:highlight w:val="none"/>
          <w:u w:val="single"/>
        </w:rPr>
        <w:t>暴雨红色预警信号、大风红色预警信号</w:t>
      </w: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92" w:name="_bookmark133"/>
      <w:bookmarkEnd w:id="792"/>
    </w:p>
    <w:p>
      <w:pPr>
        <w:tabs>
          <w:tab w:val="left" w:pos="877"/>
        </w:tabs>
        <w:adjustRightInd/>
        <w:spacing w:line="340" w:lineRule="exact"/>
        <w:ind w:left="158" w:firstLine="0" w:firstLineChars="0"/>
        <w:textAlignment w:val="auto"/>
        <w:rPr>
          <w:rFonts w:ascii="宋体" w:hAnsi="宋体" w:cs="宋体"/>
          <w:color w:val="auto"/>
          <w:szCs w:val="24"/>
          <w:highlight w:val="none"/>
        </w:rPr>
      </w:pPr>
      <w:r>
        <w:rPr>
          <w:rFonts w:ascii="宋体" w:hAnsi="宋体" w:cs="宋体"/>
          <w:color w:val="auto"/>
          <w:szCs w:val="24"/>
          <w:highlight w:val="none"/>
        </w:rPr>
        <w:t>11.5</w:t>
      </w:r>
      <w:r>
        <w:rPr>
          <w:rFonts w:ascii="宋体" w:hAnsi="宋体" w:cs="宋体"/>
          <w:color w:val="auto"/>
          <w:szCs w:val="24"/>
          <w:highlight w:val="none"/>
        </w:rPr>
        <w:tab/>
      </w:r>
      <w:r>
        <w:rPr>
          <w:rFonts w:ascii="宋体" w:hAnsi="宋体" w:cs="宋体"/>
          <w:color w:val="auto"/>
          <w:szCs w:val="24"/>
          <w:highlight w:val="none"/>
        </w:rPr>
        <w:t>承包人的工期延误</w:t>
      </w:r>
    </w:p>
    <w:p>
      <w:pPr>
        <w:adjustRightInd/>
        <w:spacing w:before="3" w:line="240" w:lineRule="exact"/>
        <w:ind w:firstLine="0" w:firstLineChars="0"/>
        <w:textAlignment w:val="auto"/>
        <w:rPr>
          <w:rFonts w:ascii="Calibri" w:hAnsi="Calibri"/>
          <w:color w:val="auto"/>
          <w:szCs w:val="24"/>
          <w:highlight w:val="none"/>
        </w:rPr>
      </w:pPr>
    </w:p>
    <w:p>
      <w:pPr>
        <w:tabs>
          <w:tab w:val="left" w:pos="1420"/>
          <w:tab w:val="left" w:pos="8453"/>
        </w:tabs>
        <w:adjustRightInd/>
        <w:spacing w:line="318" w:lineRule="auto"/>
        <w:ind w:left="578" w:right="172" w:firstLine="0" w:firstLineChars="0"/>
        <w:textAlignment w:val="auto"/>
        <w:rPr>
          <w:rFonts w:ascii="宋体" w:hAnsi="宋体"/>
          <w:color w:val="auto"/>
          <w:spacing w:val="-3"/>
          <w:sz w:val="21"/>
          <w:szCs w:val="21"/>
          <w:highlight w:val="none"/>
        </w:rPr>
      </w:pPr>
      <w:r>
        <w:rPr>
          <w:rFonts w:ascii="宋体" w:hAnsi="宋体" w:cs="宋体"/>
          <w:color w:val="auto"/>
          <w:sz w:val="21"/>
          <w:szCs w:val="21"/>
          <w:highlight w:val="none"/>
        </w:rPr>
        <w:t>11.5.1</w:t>
      </w:r>
      <w:r>
        <w:rPr>
          <w:rFonts w:ascii="宋体" w:hAnsi="宋体" w:cs="宋体"/>
          <w:color w:val="auto"/>
          <w:sz w:val="21"/>
          <w:szCs w:val="21"/>
          <w:highlight w:val="none"/>
        </w:rPr>
        <w:tab/>
      </w:r>
      <w:r>
        <w:rPr>
          <w:rFonts w:ascii="宋体" w:hAnsi="宋体"/>
          <w:color w:val="auto"/>
          <w:spacing w:val="-3"/>
          <w:sz w:val="21"/>
          <w:szCs w:val="21"/>
          <w:highlight w:val="none"/>
        </w:rPr>
        <w:t>逾</w:t>
      </w:r>
      <w:r>
        <w:rPr>
          <w:rFonts w:ascii="宋体" w:hAnsi="宋体"/>
          <w:color w:val="auto"/>
          <w:sz w:val="21"/>
          <w:szCs w:val="21"/>
          <w:highlight w:val="none"/>
        </w:rPr>
        <w:t>期</w:t>
      </w:r>
      <w:r>
        <w:rPr>
          <w:rFonts w:ascii="宋体" w:hAnsi="宋体"/>
          <w:color w:val="auto"/>
          <w:spacing w:val="-3"/>
          <w:sz w:val="21"/>
          <w:szCs w:val="21"/>
          <w:highlight w:val="none"/>
        </w:rPr>
        <w:t>竣</w:t>
      </w:r>
      <w:r>
        <w:rPr>
          <w:rFonts w:ascii="宋体" w:hAnsi="宋体"/>
          <w:color w:val="auto"/>
          <w:sz w:val="21"/>
          <w:szCs w:val="21"/>
          <w:highlight w:val="none"/>
        </w:rPr>
        <w:t>工</w:t>
      </w:r>
      <w:r>
        <w:rPr>
          <w:rFonts w:ascii="宋体" w:hAnsi="宋体"/>
          <w:color w:val="auto"/>
          <w:spacing w:val="-3"/>
          <w:sz w:val="21"/>
          <w:szCs w:val="21"/>
          <w:highlight w:val="none"/>
        </w:rPr>
        <w:t>违</w:t>
      </w:r>
      <w:r>
        <w:rPr>
          <w:rFonts w:ascii="宋体" w:hAnsi="宋体"/>
          <w:color w:val="auto"/>
          <w:sz w:val="21"/>
          <w:szCs w:val="21"/>
          <w:highlight w:val="none"/>
        </w:rPr>
        <w:t>约</w:t>
      </w:r>
      <w:r>
        <w:rPr>
          <w:rFonts w:ascii="宋体" w:hAnsi="宋体"/>
          <w:color w:val="auto"/>
          <w:spacing w:val="-3"/>
          <w:sz w:val="21"/>
          <w:szCs w:val="21"/>
          <w:highlight w:val="none"/>
        </w:rPr>
        <w:t>金</w:t>
      </w:r>
      <w:r>
        <w:rPr>
          <w:rFonts w:ascii="宋体" w:hAnsi="宋体"/>
          <w:color w:val="auto"/>
          <w:sz w:val="21"/>
          <w:szCs w:val="21"/>
          <w:highlight w:val="none"/>
        </w:rPr>
        <w:t>的计</w:t>
      </w:r>
      <w:r>
        <w:rPr>
          <w:rFonts w:ascii="宋体" w:hAnsi="宋体"/>
          <w:color w:val="auto"/>
          <w:spacing w:val="-3"/>
          <w:sz w:val="21"/>
          <w:szCs w:val="21"/>
          <w:highlight w:val="none"/>
        </w:rPr>
        <w:t>算</w:t>
      </w:r>
      <w:r>
        <w:rPr>
          <w:rFonts w:ascii="宋体" w:hAnsi="宋体"/>
          <w:color w:val="auto"/>
          <w:sz w:val="21"/>
          <w:szCs w:val="21"/>
          <w:highlight w:val="none"/>
        </w:rPr>
        <w:t>标</w:t>
      </w:r>
      <w:r>
        <w:rPr>
          <w:rFonts w:ascii="宋体" w:hAnsi="宋体"/>
          <w:color w:val="auto"/>
          <w:spacing w:val="-3"/>
          <w:sz w:val="21"/>
          <w:szCs w:val="21"/>
          <w:highlight w:val="none"/>
        </w:rPr>
        <w:t>准</w:t>
      </w:r>
      <w:r>
        <w:rPr>
          <w:rFonts w:ascii="宋体" w:hAnsi="宋体"/>
          <w:color w:val="auto"/>
          <w:sz w:val="21"/>
          <w:szCs w:val="21"/>
          <w:highlight w:val="none"/>
        </w:rPr>
        <w:t>和</w:t>
      </w:r>
      <w:r>
        <w:rPr>
          <w:rFonts w:ascii="宋体" w:hAnsi="宋体"/>
          <w:color w:val="auto"/>
          <w:spacing w:val="-3"/>
          <w:sz w:val="21"/>
          <w:szCs w:val="21"/>
          <w:highlight w:val="none"/>
        </w:rPr>
        <w:t>计</w:t>
      </w:r>
      <w:r>
        <w:rPr>
          <w:rFonts w:ascii="宋体" w:hAnsi="宋体"/>
          <w:color w:val="auto"/>
          <w:sz w:val="21"/>
          <w:szCs w:val="21"/>
          <w:highlight w:val="none"/>
        </w:rPr>
        <w:t>算</w:t>
      </w:r>
      <w:r>
        <w:rPr>
          <w:rFonts w:ascii="宋体" w:hAnsi="宋体"/>
          <w:color w:val="auto"/>
          <w:spacing w:val="-3"/>
          <w:sz w:val="21"/>
          <w:szCs w:val="21"/>
          <w:highlight w:val="none"/>
        </w:rPr>
        <w:t>方</w:t>
      </w:r>
      <w:r>
        <w:rPr>
          <w:rFonts w:ascii="宋体" w:hAnsi="宋体"/>
          <w:color w:val="auto"/>
          <w:sz w:val="21"/>
          <w:szCs w:val="21"/>
          <w:highlight w:val="none"/>
        </w:rPr>
        <w:t>法</w:t>
      </w:r>
      <w:r>
        <w:rPr>
          <w:rFonts w:ascii="宋体" w:hAnsi="宋体"/>
          <w:color w:val="auto"/>
          <w:spacing w:val="-3"/>
          <w:sz w:val="21"/>
          <w:szCs w:val="21"/>
          <w:highlight w:val="none"/>
        </w:rPr>
        <w:t>：</w:t>
      </w:r>
    </w:p>
    <w:p>
      <w:pPr>
        <w:adjustRightInd/>
        <w:ind w:left="480" w:leftChars="200" w:firstLine="210" w:firstLineChars="100"/>
        <w:textAlignment w:val="auto"/>
        <w:rPr>
          <w:rFonts w:ascii="宋体" w:hAnsi="宋体"/>
          <w:color w:val="auto"/>
          <w:sz w:val="21"/>
          <w:szCs w:val="21"/>
          <w:highlight w:val="none"/>
        </w:rPr>
      </w:pPr>
      <w:r>
        <w:rPr>
          <w:rFonts w:hint="eastAsia" w:ascii="宋体" w:hAnsi="宋体"/>
          <w:color w:val="auto"/>
          <w:sz w:val="21"/>
          <w:szCs w:val="21"/>
          <w:highlight w:val="none"/>
        </w:rPr>
        <w:t>逾期竣工违约金的计算标准：</w:t>
      </w:r>
      <w:r>
        <w:rPr>
          <w:rFonts w:hint="eastAsia" w:ascii="宋体" w:hAnsi="宋体"/>
          <w:color w:val="auto"/>
          <w:kern w:val="2"/>
          <w:sz w:val="21"/>
          <w:szCs w:val="24"/>
          <w:highlight w:val="none"/>
          <w:u w:val="single"/>
        </w:rPr>
        <w:t>签约合同价</w:t>
      </w:r>
      <w:r>
        <w:rPr>
          <w:rFonts w:hint="eastAsia" w:ascii="宋体" w:hAnsi="宋体" w:cs="宋体"/>
          <w:color w:val="auto"/>
          <w:kern w:val="2"/>
          <w:sz w:val="21"/>
          <w:szCs w:val="24"/>
          <w:highlight w:val="none"/>
          <w:u w:val="single"/>
        </w:rPr>
        <w:t>的0.1‰/天，不足一天按一天计</w:t>
      </w:r>
      <w:r>
        <w:rPr>
          <w:rFonts w:hint="eastAsia" w:ascii="宋体" w:hAnsi="宋体"/>
          <w:color w:val="auto"/>
          <w:sz w:val="21"/>
          <w:szCs w:val="21"/>
          <w:highlight w:val="none"/>
        </w:rPr>
        <w:t>。</w:t>
      </w:r>
    </w:p>
    <w:p>
      <w:pPr>
        <w:tabs>
          <w:tab w:val="left" w:pos="1420"/>
          <w:tab w:val="left" w:pos="8453"/>
        </w:tabs>
        <w:adjustRightInd/>
        <w:ind w:left="578" w:right="172" w:firstLine="0" w:firstLineChars="0"/>
        <w:textAlignment w:val="auto"/>
        <w:rPr>
          <w:rFonts w:ascii="宋体" w:hAnsi="宋体"/>
          <w:color w:val="auto"/>
          <w:spacing w:val="-3"/>
          <w:sz w:val="21"/>
          <w:szCs w:val="21"/>
          <w:highlight w:val="none"/>
        </w:rPr>
      </w:pPr>
      <w:r>
        <w:rPr>
          <w:rFonts w:hint="eastAsia" w:ascii="宋体" w:hAnsi="宋体"/>
          <w:color w:val="auto"/>
          <w:sz w:val="21"/>
          <w:szCs w:val="21"/>
          <w:highlight w:val="none"/>
        </w:rPr>
        <w:t>逾期竣工违约金的计算方法：</w:t>
      </w:r>
      <w:r>
        <w:rPr>
          <w:rFonts w:hint="eastAsia" w:ascii="宋体" w:hAnsi="宋体"/>
          <w:color w:val="auto"/>
          <w:sz w:val="21"/>
          <w:szCs w:val="21"/>
          <w:highlight w:val="none"/>
          <w:u w:val="single"/>
        </w:rPr>
        <w:t>承包人实际工期延误天数×逾期竣工违约金的计算标准</w:t>
      </w:r>
    </w:p>
    <w:p>
      <w:pPr>
        <w:adjustRightInd/>
        <w:ind w:left="480" w:leftChars="200" w:firstLine="210" w:firstLineChars="100"/>
        <w:textAlignment w:val="auto"/>
        <w:rPr>
          <w:rFonts w:ascii="宋体" w:hAnsi="宋体" w:cs="宋体"/>
          <w:color w:val="auto"/>
          <w:sz w:val="21"/>
          <w:szCs w:val="21"/>
          <w:highlight w:val="none"/>
          <w:u w:val="single"/>
        </w:rPr>
      </w:pPr>
      <w:r>
        <w:rPr>
          <w:rFonts w:ascii="Calibri" w:hAnsi="Calibri"/>
          <w:color w:val="auto"/>
          <w:sz w:val="21"/>
          <w:szCs w:val="21"/>
          <w:highlight w:val="none"/>
        </w:rPr>
        <w:t>逾期</w:t>
      </w:r>
      <w:r>
        <w:rPr>
          <w:rFonts w:ascii="Calibri" w:hAnsi="Calibri"/>
          <w:color w:val="auto"/>
          <w:spacing w:val="-3"/>
          <w:sz w:val="21"/>
          <w:szCs w:val="21"/>
          <w:highlight w:val="none"/>
        </w:rPr>
        <w:t>竣</w:t>
      </w:r>
      <w:r>
        <w:rPr>
          <w:rFonts w:ascii="Calibri" w:hAnsi="Calibri"/>
          <w:color w:val="auto"/>
          <w:sz w:val="21"/>
          <w:szCs w:val="21"/>
          <w:highlight w:val="none"/>
        </w:rPr>
        <w:t>工</w:t>
      </w:r>
      <w:r>
        <w:rPr>
          <w:rFonts w:ascii="Calibri" w:hAnsi="Calibri"/>
          <w:color w:val="auto"/>
          <w:spacing w:val="-3"/>
          <w:sz w:val="21"/>
          <w:szCs w:val="21"/>
          <w:highlight w:val="none"/>
        </w:rPr>
        <w:t>违</w:t>
      </w:r>
      <w:r>
        <w:rPr>
          <w:rFonts w:ascii="Calibri" w:hAnsi="Calibri"/>
          <w:color w:val="auto"/>
          <w:sz w:val="21"/>
          <w:szCs w:val="21"/>
          <w:highlight w:val="none"/>
        </w:rPr>
        <w:t>约</w:t>
      </w:r>
      <w:r>
        <w:rPr>
          <w:rFonts w:ascii="Calibri" w:hAnsi="Calibri"/>
          <w:color w:val="auto"/>
          <w:spacing w:val="-3"/>
          <w:sz w:val="21"/>
          <w:szCs w:val="21"/>
          <w:highlight w:val="none"/>
        </w:rPr>
        <w:t>金</w:t>
      </w:r>
      <w:r>
        <w:rPr>
          <w:rFonts w:ascii="Calibri" w:hAnsi="Calibri"/>
          <w:color w:val="auto"/>
          <w:sz w:val="21"/>
          <w:szCs w:val="21"/>
          <w:highlight w:val="none"/>
        </w:rPr>
        <w:t>最</w:t>
      </w:r>
      <w:r>
        <w:rPr>
          <w:rFonts w:ascii="Calibri" w:hAnsi="Calibri"/>
          <w:color w:val="auto"/>
          <w:spacing w:val="-3"/>
          <w:sz w:val="21"/>
          <w:szCs w:val="21"/>
          <w:highlight w:val="none"/>
        </w:rPr>
        <w:t>高</w:t>
      </w:r>
      <w:r>
        <w:rPr>
          <w:rFonts w:ascii="Calibri" w:hAnsi="Calibri"/>
          <w:color w:val="auto"/>
          <w:sz w:val="21"/>
          <w:szCs w:val="21"/>
          <w:highlight w:val="none"/>
        </w:rPr>
        <w:t>限</w:t>
      </w:r>
      <w:r>
        <w:rPr>
          <w:rFonts w:ascii="Calibri" w:hAnsi="Calibri"/>
          <w:color w:val="auto"/>
          <w:spacing w:val="-3"/>
          <w:sz w:val="21"/>
          <w:szCs w:val="21"/>
          <w:highlight w:val="none"/>
        </w:rPr>
        <w:t>额</w:t>
      </w:r>
      <w:r>
        <w:rPr>
          <w:rFonts w:ascii="Calibri" w:hAnsi="Calibri"/>
          <w:color w:val="auto"/>
          <w:sz w:val="21"/>
          <w:szCs w:val="21"/>
          <w:highlight w:val="none"/>
        </w:rPr>
        <w:t>：</w:t>
      </w:r>
      <w:r>
        <w:rPr>
          <w:rFonts w:hint="eastAsia" w:ascii="宋体" w:hAnsi="宋体" w:cs="宋体"/>
          <w:color w:val="auto"/>
          <w:sz w:val="21"/>
          <w:szCs w:val="21"/>
          <w:highlight w:val="none"/>
          <w:u w:val="single"/>
        </w:rPr>
        <w:t>最高不超过签约合同价的5%。</w:t>
      </w:r>
    </w:p>
    <w:p>
      <w:pPr>
        <w:adjustRightInd/>
        <w:spacing w:before="3" w:line="150" w:lineRule="exact"/>
        <w:ind w:firstLine="0" w:firstLineChars="0"/>
        <w:textAlignment w:val="auto"/>
        <w:rPr>
          <w:rFonts w:ascii="Calibri" w:hAnsi="Calibri"/>
          <w:color w:val="auto"/>
          <w:sz w:val="15"/>
          <w:szCs w:val="15"/>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93" w:name="_bookmark134"/>
      <w:bookmarkEnd w:id="793"/>
      <w:r>
        <w:rPr>
          <w:rFonts w:ascii="宋体" w:hAnsi="宋体" w:cs="宋体"/>
          <w:color w:val="auto"/>
          <w:szCs w:val="24"/>
          <w:highlight w:val="none"/>
        </w:rPr>
        <w:t>11.6</w:t>
      </w:r>
      <w:r>
        <w:rPr>
          <w:rFonts w:ascii="宋体" w:hAnsi="宋体" w:cs="宋体"/>
          <w:color w:val="auto"/>
          <w:szCs w:val="24"/>
          <w:highlight w:val="none"/>
        </w:rPr>
        <w:tab/>
      </w:r>
      <w:r>
        <w:rPr>
          <w:rFonts w:ascii="宋体" w:hAnsi="宋体" w:cs="宋体"/>
          <w:color w:val="auto"/>
          <w:szCs w:val="24"/>
          <w:highlight w:val="none"/>
        </w:rPr>
        <w:t>工期提前</w:t>
      </w:r>
    </w:p>
    <w:p>
      <w:pPr>
        <w:adjustRightInd/>
        <w:spacing w:before="3" w:line="240" w:lineRule="exact"/>
        <w:ind w:firstLine="0" w:firstLineChars="0"/>
        <w:textAlignment w:val="auto"/>
        <w:rPr>
          <w:rFonts w:ascii="Calibri" w:hAnsi="Calibri"/>
          <w:color w:val="auto"/>
          <w:szCs w:val="24"/>
          <w:highlight w:val="none"/>
        </w:rPr>
      </w:pPr>
    </w:p>
    <w:p>
      <w:pPr>
        <w:tabs>
          <w:tab w:val="left" w:pos="8453"/>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提前</w:t>
      </w:r>
      <w:r>
        <w:rPr>
          <w:rFonts w:ascii="宋体" w:hAnsi="宋体"/>
          <w:color w:val="auto"/>
          <w:spacing w:val="-3"/>
          <w:sz w:val="21"/>
          <w:szCs w:val="21"/>
          <w:highlight w:val="none"/>
        </w:rPr>
        <w:t>竣</w:t>
      </w:r>
      <w:r>
        <w:rPr>
          <w:rFonts w:ascii="宋体" w:hAnsi="宋体"/>
          <w:color w:val="auto"/>
          <w:sz w:val="21"/>
          <w:szCs w:val="21"/>
          <w:highlight w:val="none"/>
        </w:rPr>
        <w:t>工</w:t>
      </w:r>
      <w:r>
        <w:rPr>
          <w:rFonts w:ascii="宋体" w:hAnsi="宋体"/>
          <w:color w:val="auto"/>
          <w:spacing w:val="-3"/>
          <w:sz w:val="21"/>
          <w:szCs w:val="21"/>
          <w:highlight w:val="none"/>
        </w:rPr>
        <w:t>的</w:t>
      </w:r>
      <w:r>
        <w:rPr>
          <w:rFonts w:ascii="宋体" w:hAnsi="宋体"/>
          <w:color w:val="auto"/>
          <w:sz w:val="21"/>
          <w:szCs w:val="21"/>
          <w:highlight w:val="none"/>
        </w:rPr>
        <w:t>奖</w:t>
      </w:r>
      <w:r>
        <w:rPr>
          <w:rFonts w:ascii="宋体" w:hAnsi="宋体"/>
          <w:color w:val="auto"/>
          <w:spacing w:val="-3"/>
          <w:sz w:val="21"/>
          <w:szCs w:val="21"/>
          <w:highlight w:val="none"/>
        </w:rPr>
        <w:t>励</w:t>
      </w:r>
      <w:r>
        <w:rPr>
          <w:rFonts w:ascii="宋体" w:hAnsi="宋体"/>
          <w:color w:val="auto"/>
          <w:sz w:val="21"/>
          <w:szCs w:val="21"/>
          <w:highlight w:val="none"/>
        </w:rPr>
        <w:t>办</w:t>
      </w:r>
      <w:r>
        <w:rPr>
          <w:rFonts w:ascii="宋体" w:hAnsi="宋体"/>
          <w:color w:val="auto"/>
          <w:spacing w:val="-3"/>
          <w:sz w:val="21"/>
          <w:szCs w:val="21"/>
          <w:highlight w:val="none"/>
        </w:rPr>
        <w:t>法</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7" w:line="220" w:lineRule="exact"/>
        <w:ind w:firstLine="0" w:firstLineChars="0"/>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94" w:name="_bookmark135"/>
      <w:bookmarkEnd w:id="794"/>
      <w:r>
        <w:rPr>
          <w:rFonts w:ascii="宋体" w:hAnsi="宋体" w:cs="宋体"/>
          <w:color w:val="auto"/>
          <w:sz w:val="28"/>
          <w:szCs w:val="28"/>
          <w:highlight w:val="none"/>
        </w:rPr>
        <w:t>1</w:t>
      </w:r>
      <w:r>
        <w:rPr>
          <w:rFonts w:ascii="宋体" w:hAnsi="宋体" w:cs="宋体"/>
          <w:color w:val="auto"/>
          <w:spacing w:val="-2"/>
          <w:sz w:val="28"/>
          <w:szCs w:val="28"/>
          <w:highlight w:val="none"/>
        </w:rPr>
        <w:t>2</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暂</w:t>
      </w:r>
      <w:r>
        <w:rPr>
          <w:rFonts w:ascii="宋体" w:hAnsi="宋体" w:cs="宋体"/>
          <w:color w:val="auto"/>
          <w:sz w:val="28"/>
          <w:szCs w:val="28"/>
          <w:highlight w:val="none"/>
        </w:rPr>
        <w:t>停施工</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795" w:name="_bookmark136"/>
      <w:bookmarkEnd w:id="795"/>
      <w:r>
        <w:rPr>
          <w:rFonts w:ascii="宋体" w:hAnsi="宋体" w:cs="宋体"/>
          <w:color w:val="auto"/>
          <w:szCs w:val="24"/>
          <w:highlight w:val="none"/>
        </w:rPr>
        <w:t>12.1</w:t>
      </w:r>
      <w:r>
        <w:rPr>
          <w:rFonts w:ascii="宋体" w:hAnsi="宋体" w:cs="宋体"/>
          <w:color w:val="auto"/>
          <w:szCs w:val="24"/>
          <w:highlight w:val="none"/>
        </w:rPr>
        <w:tab/>
      </w:r>
      <w:r>
        <w:rPr>
          <w:rFonts w:ascii="宋体" w:hAnsi="宋体" w:cs="宋体"/>
          <w:color w:val="auto"/>
          <w:szCs w:val="24"/>
          <w:highlight w:val="none"/>
        </w:rPr>
        <w:t>承包人暂停施工的责任</w:t>
      </w:r>
    </w:p>
    <w:p>
      <w:pPr>
        <w:adjustRightInd/>
        <w:spacing w:before="3" w:line="240" w:lineRule="exact"/>
        <w:ind w:firstLine="0" w:firstLineChars="0"/>
        <w:textAlignment w:val="auto"/>
        <w:rPr>
          <w:rFonts w:ascii="Calibri" w:hAnsi="Calibri"/>
          <w:color w:val="auto"/>
          <w:szCs w:val="24"/>
          <w:highlight w:val="none"/>
        </w:rPr>
      </w:pPr>
    </w:p>
    <w:p>
      <w:pPr>
        <w:adjustRightInd/>
        <w:spacing w:line="240" w:lineRule="auto"/>
        <w:ind w:left="578" w:firstLine="0" w:firstLineChars="0"/>
        <w:textAlignment w:val="auto"/>
        <w:rPr>
          <w:rFonts w:ascii="宋体" w:hAnsi="宋体"/>
          <w:color w:val="auto"/>
          <w:sz w:val="21"/>
          <w:szCs w:val="21"/>
          <w:highlight w:val="none"/>
          <w:u w:val="single"/>
        </w:rPr>
      </w:pPr>
      <w:r>
        <w:rPr>
          <w:rFonts w:ascii="宋体" w:hAnsi="宋体"/>
          <w:color w:val="auto"/>
          <w:sz w:val="21"/>
          <w:szCs w:val="21"/>
          <w:highlight w:val="none"/>
        </w:rPr>
        <w:t>（</w:t>
      </w:r>
      <w:r>
        <w:rPr>
          <w:rFonts w:ascii="宋体" w:hAnsi="宋体" w:cs="宋体"/>
          <w:color w:val="auto"/>
          <w:spacing w:val="-3"/>
          <w:sz w:val="21"/>
          <w:szCs w:val="21"/>
          <w:highlight w:val="none"/>
        </w:rPr>
        <w:t>4</w:t>
      </w:r>
      <w:r>
        <w:rPr>
          <w:rFonts w:ascii="宋体" w:hAnsi="宋体"/>
          <w:color w:val="auto"/>
          <w:spacing w:val="-44"/>
          <w:sz w:val="21"/>
          <w:szCs w:val="21"/>
          <w:highlight w:val="none"/>
        </w:rPr>
        <w:t>）</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承</w:t>
      </w:r>
      <w:r>
        <w:rPr>
          <w:rFonts w:ascii="宋体" w:hAnsi="宋体"/>
          <w:color w:val="auto"/>
          <w:spacing w:val="-3"/>
          <w:sz w:val="21"/>
          <w:szCs w:val="21"/>
          <w:highlight w:val="none"/>
        </w:rPr>
        <w:t>担</w:t>
      </w:r>
      <w:r>
        <w:rPr>
          <w:rFonts w:ascii="宋体" w:hAnsi="宋体"/>
          <w:color w:val="auto"/>
          <w:sz w:val="21"/>
          <w:szCs w:val="21"/>
          <w:highlight w:val="none"/>
        </w:rPr>
        <w:t>暂</w:t>
      </w:r>
      <w:r>
        <w:rPr>
          <w:rFonts w:ascii="宋体" w:hAnsi="宋体"/>
          <w:color w:val="auto"/>
          <w:spacing w:val="-3"/>
          <w:sz w:val="21"/>
          <w:szCs w:val="21"/>
          <w:highlight w:val="none"/>
        </w:rPr>
        <w:t>停</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责任</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情</w:t>
      </w:r>
      <w:r>
        <w:rPr>
          <w:rFonts w:ascii="宋体" w:hAnsi="宋体"/>
          <w:color w:val="auto"/>
          <w:spacing w:val="-3"/>
          <w:sz w:val="21"/>
          <w:szCs w:val="21"/>
          <w:highlight w:val="none"/>
        </w:rPr>
        <w:t>形</w:t>
      </w:r>
      <w:r>
        <w:rPr>
          <w:rFonts w:ascii="宋体" w:hAnsi="宋体"/>
          <w:color w:val="auto"/>
          <w:sz w:val="21"/>
          <w:szCs w:val="21"/>
          <w:highlight w:val="none"/>
        </w:rPr>
        <w:t>：</w:t>
      </w:r>
      <w:r>
        <w:rPr>
          <w:rFonts w:hint="eastAsia" w:ascii="宋体" w:hAnsi="宋体"/>
          <w:color w:val="auto"/>
          <w:sz w:val="21"/>
          <w:szCs w:val="21"/>
          <w:highlight w:val="none"/>
          <w:u w:val="single"/>
        </w:rPr>
        <w:t>/</w:t>
      </w:r>
    </w:p>
    <w:p>
      <w:pPr>
        <w:adjustRightInd/>
        <w:spacing w:line="200" w:lineRule="exact"/>
        <w:ind w:firstLine="0" w:firstLineChars="0"/>
        <w:textAlignment w:val="auto"/>
        <w:rPr>
          <w:rFonts w:ascii="Calibri" w:hAnsi="Calibri"/>
          <w:color w:val="auto"/>
          <w:sz w:val="20"/>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796" w:name="_bookmark137"/>
      <w:bookmarkEnd w:id="796"/>
      <w:r>
        <w:rPr>
          <w:rFonts w:ascii="宋体" w:hAnsi="宋体" w:cs="宋体"/>
          <w:color w:val="auto"/>
          <w:sz w:val="28"/>
          <w:szCs w:val="28"/>
          <w:highlight w:val="none"/>
        </w:rPr>
        <w:t>1</w:t>
      </w:r>
      <w:r>
        <w:rPr>
          <w:rFonts w:ascii="宋体" w:hAnsi="宋体" w:cs="宋体"/>
          <w:color w:val="auto"/>
          <w:spacing w:val="-2"/>
          <w:sz w:val="28"/>
          <w:szCs w:val="28"/>
          <w:highlight w:val="none"/>
        </w:rPr>
        <w:t>3</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工</w:t>
      </w:r>
      <w:r>
        <w:rPr>
          <w:rFonts w:ascii="宋体" w:hAnsi="宋体" w:cs="宋体"/>
          <w:color w:val="auto"/>
          <w:sz w:val="28"/>
          <w:szCs w:val="28"/>
          <w:highlight w:val="none"/>
        </w:rPr>
        <w:t>程质量</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797" w:name="_bookmark138"/>
      <w:bookmarkEnd w:id="797"/>
      <w:r>
        <w:rPr>
          <w:rFonts w:ascii="宋体" w:hAnsi="宋体" w:cs="宋体"/>
          <w:color w:val="auto"/>
          <w:szCs w:val="24"/>
          <w:highlight w:val="none"/>
        </w:rPr>
        <w:t>13.2</w:t>
      </w:r>
      <w:r>
        <w:rPr>
          <w:rFonts w:ascii="宋体" w:hAnsi="宋体" w:cs="宋体"/>
          <w:color w:val="auto"/>
          <w:szCs w:val="24"/>
          <w:highlight w:val="none"/>
        </w:rPr>
        <w:tab/>
      </w:r>
      <w:r>
        <w:rPr>
          <w:rFonts w:ascii="宋体" w:hAnsi="宋体" w:cs="宋体"/>
          <w:color w:val="auto"/>
          <w:szCs w:val="24"/>
          <w:highlight w:val="none"/>
        </w:rPr>
        <w:t>承包人的质量管理</w:t>
      </w:r>
    </w:p>
    <w:p>
      <w:pPr>
        <w:adjustRightInd/>
        <w:spacing w:before="5" w:line="240" w:lineRule="exact"/>
        <w:ind w:firstLine="0" w:firstLineChars="0"/>
        <w:textAlignment w:val="auto"/>
        <w:rPr>
          <w:rFonts w:ascii="Calibri" w:hAnsi="Calibri"/>
          <w:color w:val="auto"/>
          <w:szCs w:val="24"/>
          <w:highlight w:val="none"/>
        </w:rPr>
      </w:pPr>
    </w:p>
    <w:p>
      <w:pPr>
        <w:adjustRightInd/>
        <w:spacing w:line="400" w:lineRule="exact"/>
        <w:ind w:firstLine="420"/>
        <w:textAlignment w:val="auto"/>
        <w:rPr>
          <w:rFonts w:ascii="宋体" w:hAnsi="宋体" w:cs="Arial"/>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1承包人向监理人提交工程质量保证措施文件的期限：</w:t>
      </w:r>
      <w:r>
        <w:rPr>
          <w:rFonts w:hint="eastAsia" w:ascii="宋体" w:hAnsi="宋体"/>
          <w:color w:val="auto"/>
          <w:sz w:val="21"/>
          <w:szCs w:val="21"/>
          <w:highlight w:val="none"/>
          <w:u w:val="single"/>
        </w:rPr>
        <w:t>在收到监理人按照通用合同条款第11.1.1项发出的开工通知后7天内</w:t>
      </w:r>
      <w:r>
        <w:rPr>
          <w:rFonts w:ascii="宋体" w:hAnsi="宋体"/>
          <w:color w:val="auto"/>
          <w:sz w:val="21"/>
          <w:szCs w:val="21"/>
          <w:highlight w:val="none"/>
        </w:rPr>
        <w:t>。</w:t>
      </w:r>
    </w:p>
    <w:p>
      <w:pPr>
        <w:adjustRightInd/>
        <w:spacing w:line="400" w:lineRule="exact"/>
        <w:ind w:firstLine="420"/>
        <w:textAlignment w:val="auto"/>
        <w:rPr>
          <w:rFonts w:ascii="宋体" w:hAnsi="宋体"/>
          <w:color w:val="auto"/>
          <w:sz w:val="22"/>
          <w:szCs w:val="21"/>
          <w:highlight w:val="none"/>
        </w:rPr>
      </w:pPr>
      <w:r>
        <w:rPr>
          <w:rFonts w:hint="eastAsia" w:ascii="宋体" w:hAnsi="宋体"/>
          <w:color w:val="auto"/>
          <w:sz w:val="21"/>
          <w:szCs w:val="21"/>
          <w:highlight w:val="none"/>
        </w:rPr>
        <w:t>监理人审批工程质量保证措施文件的期限：</w:t>
      </w:r>
      <w:r>
        <w:rPr>
          <w:rFonts w:hint="eastAsia" w:ascii="宋体" w:hAnsi="宋体"/>
          <w:color w:val="auto"/>
          <w:sz w:val="21"/>
          <w:szCs w:val="21"/>
          <w:highlight w:val="none"/>
          <w:u w:val="single"/>
        </w:rPr>
        <w:t xml:space="preserve">   收到后</w:t>
      </w:r>
      <w:r>
        <w:rPr>
          <w:rFonts w:ascii="宋体" w:hAnsi="宋体"/>
          <w:color w:val="auto"/>
          <w:sz w:val="21"/>
          <w:szCs w:val="21"/>
          <w:highlight w:val="none"/>
          <w:u w:val="single"/>
        </w:rPr>
        <w:t>7</w:t>
      </w:r>
      <w:r>
        <w:rPr>
          <w:rFonts w:hint="eastAsia" w:ascii="宋体" w:hAnsi="宋体"/>
          <w:color w:val="auto"/>
          <w:sz w:val="21"/>
          <w:szCs w:val="21"/>
          <w:highlight w:val="none"/>
          <w:u w:val="single"/>
        </w:rPr>
        <w:t xml:space="preserve">天内            </w:t>
      </w:r>
      <w:r>
        <w:rPr>
          <w:rFonts w:ascii="宋体" w:hAnsi="宋体"/>
          <w:color w:val="auto"/>
          <w:sz w:val="22"/>
          <w:szCs w:val="21"/>
          <w:highlight w:val="none"/>
        </w:rPr>
        <w:t>。</w:t>
      </w:r>
    </w:p>
    <w:p>
      <w:pPr>
        <w:adjustRightInd/>
        <w:spacing w:before="4" w:line="150" w:lineRule="exact"/>
        <w:ind w:firstLine="0" w:firstLineChars="0"/>
        <w:textAlignment w:val="auto"/>
        <w:rPr>
          <w:rFonts w:ascii="Calibri" w:hAnsi="Calibri"/>
          <w:color w:val="auto"/>
          <w:sz w:val="15"/>
          <w:szCs w:val="15"/>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798" w:name="_bookmark139"/>
      <w:bookmarkEnd w:id="798"/>
      <w:r>
        <w:rPr>
          <w:rFonts w:ascii="宋体" w:hAnsi="宋体" w:cs="宋体"/>
          <w:color w:val="auto"/>
          <w:szCs w:val="24"/>
          <w:highlight w:val="none"/>
        </w:rPr>
        <w:t>13.3</w:t>
      </w:r>
      <w:r>
        <w:rPr>
          <w:rFonts w:ascii="宋体" w:hAnsi="宋体" w:cs="宋体"/>
          <w:color w:val="auto"/>
          <w:szCs w:val="24"/>
          <w:highlight w:val="none"/>
        </w:rPr>
        <w:tab/>
      </w:r>
      <w:r>
        <w:rPr>
          <w:rFonts w:ascii="宋体" w:hAnsi="宋体" w:cs="宋体"/>
          <w:color w:val="auto"/>
          <w:szCs w:val="24"/>
          <w:highlight w:val="none"/>
        </w:rPr>
        <w:t>承包人的质量检查</w:t>
      </w:r>
    </w:p>
    <w:p>
      <w:pPr>
        <w:adjustRightInd/>
        <w:spacing w:before="5" w:line="240" w:lineRule="exact"/>
        <w:ind w:firstLine="0" w:firstLineChars="0"/>
        <w:textAlignment w:val="auto"/>
        <w:rPr>
          <w:rFonts w:ascii="Calibri" w:hAnsi="Calibri"/>
          <w:color w:val="auto"/>
          <w:szCs w:val="24"/>
          <w:highlight w:val="none"/>
        </w:rPr>
      </w:pPr>
    </w:p>
    <w:p>
      <w:pPr>
        <w:adjustRightInd/>
        <w:spacing w:line="400" w:lineRule="exact"/>
        <w:ind w:firstLine="420"/>
        <w:textAlignment w:val="auto"/>
        <w:rPr>
          <w:rFonts w:ascii="宋体" w:hAnsi="宋体" w:cs="Arial"/>
          <w:color w:val="auto"/>
          <w:sz w:val="21"/>
          <w:szCs w:val="21"/>
          <w:highlight w:val="none"/>
        </w:rPr>
      </w:pPr>
      <w:bookmarkStart w:id="799" w:name="_Toc179632717"/>
      <w:bookmarkStart w:id="800" w:name="_Toc152042477"/>
      <w:bookmarkStart w:id="801" w:name="_Toc152045699"/>
      <w:bookmarkStart w:id="802" w:name="_Toc144974668"/>
      <w:r>
        <w:rPr>
          <w:rFonts w:hint="eastAsia" w:ascii="宋体" w:hAnsi="宋体"/>
          <w:color w:val="auto"/>
          <w:sz w:val="21"/>
          <w:szCs w:val="21"/>
          <w:highlight w:val="none"/>
        </w:rPr>
        <w:t>承包人向监理人报送工程质量报表的期限：</w:t>
      </w:r>
      <w:r>
        <w:rPr>
          <w:rFonts w:ascii="宋体" w:hAnsi="宋体"/>
          <w:color w:val="auto"/>
          <w:sz w:val="21"/>
          <w:szCs w:val="21"/>
          <w:highlight w:val="none"/>
          <w:u w:val="single"/>
        </w:rPr>
        <w:t>每月25日前</w:t>
      </w:r>
      <w:r>
        <w:rPr>
          <w:rFonts w:ascii="宋体" w:hAnsi="宋体"/>
          <w:color w:val="auto"/>
          <w:sz w:val="21"/>
          <w:szCs w:val="21"/>
          <w:highlight w:val="none"/>
        </w:rPr>
        <w:t>。</w:t>
      </w:r>
    </w:p>
    <w:bookmarkEnd w:id="799"/>
    <w:bookmarkEnd w:id="800"/>
    <w:bookmarkEnd w:id="801"/>
    <w:bookmarkEnd w:id="802"/>
    <w:p>
      <w:pPr>
        <w:adjustRightInd/>
        <w:spacing w:line="400" w:lineRule="exact"/>
        <w:ind w:firstLine="420"/>
        <w:textAlignment w:val="auto"/>
        <w:rPr>
          <w:rFonts w:ascii="宋体" w:hAnsi="宋体"/>
          <w:color w:val="auto"/>
          <w:sz w:val="21"/>
          <w:szCs w:val="21"/>
          <w:highlight w:val="none"/>
        </w:rPr>
      </w:pPr>
      <w:r>
        <w:rPr>
          <w:rFonts w:hint="eastAsia" w:ascii="宋体" w:hAnsi="宋体"/>
          <w:color w:val="auto"/>
          <w:sz w:val="21"/>
          <w:szCs w:val="21"/>
          <w:highlight w:val="none"/>
        </w:rPr>
        <w:t>承包人向监理人报送工程质量报表的要求：</w:t>
      </w:r>
      <w:r>
        <w:rPr>
          <w:rFonts w:hint="eastAsia" w:ascii="宋体" w:hAnsi="宋体"/>
          <w:color w:val="auto"/>
          <w:sz w:val="21"/>
          <w:szCs w:val="21"/>
          <w:highlight w:val="none"/>
          <w:u w:val="single"/>
        </w:rPr>
        <w:t>符合国家、行业及北京市相关要求</w:t>
      </w:r>
      <w:r>
        <w:rPr>
          <w:rFonts w:ascii="宋体" w:hAnsi="宋体"/>
          <w:color w:val="auto"/>
          <w:sz w:val="21"/>
          <w:szCs w:val="21"/>
          <w:highlight w:val="none"/>
        </w:rPr>
        <w:t>。</w:t>
      </w:r>
    </w:p>
    <w:p>
      <w:pPr>
        <w:adjustRightInd/>
        <w:spacing w:line="400" w:lineRule="exact"/>
        <w:ind w:firstLine="420"/>
        <w:textAlignment w:val="auto"/>
        <w:rPr>
          <w:rFonts w:ascii="宋体" w:hAnsi="宋体"/>
          <w:color w:val="auto"/>
          <w:sz w:val="22"/>
          <w:szCs w:val="21"/>
          <w:highlight w:val="none"/>
        </w:rPr>
      </w:pPr>
      <w:r>
        <w:rPr>
          <w:rFonts w:hint="eastAsia" w:ascii="宋体" w:hAnsi="宋体"/>
          <w:color w:val="auto"/>
          <w:sz w:val="21"/>
          <w:szCs w:val="21"/>
          <w:highlight w:val="none"/>
        </w:rPr>
        <w:t>监理人审查工程质量报表的期限：</w:t>
      </w:r>
      <w:r>
        <w:rPr>
          <w:rFonts w:hint="eastAsia" w:ascii="宋体" w:hAnsi="宋体"/>
          <w:color w:val="auto"/>
          <w:sz w:val="21"/>
          <w:szCs w:val="21"/>
          <w:highlight w:val="none"/>
          <w:u w:val="single"/>
        </w:rPr>
        <w:t xml:space="preserve">         收到报表之时起48小时内           </w:t>
      </w:r>
      <w:r>
        <w:rPr>
          <w:rFonts w:ascii="宋体" w:hAnsi="宋体"/>
          <w:color w:val="auto"/>
          <w:sz w:val="22"/>
          <w:szCs w:val="21"/>
          <w:highlight w:val="none"/>
        </w:rPr>
        <w:t>。</w:t>
      </w:r>
    </w:p>
    <w:p>
      <w:pPr>
        <w:adjustRightInd/>
        <w:spacing w:before="7" w:line="150" w:lineRule="exact"/>
        <w:ind w:firstLine="0" w:firstLineChars="0"/>
        <w:textAlignment w:val="auto"/>
        <w:rPr>
          <w:rFonts w:ascii="Calibri" w:hAnsi="Calibri"/>
          <w:color w:val="auto"/>
          <w:sz w:val="15"/>
          <w:szCs w:val="15"/>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03" w:name="_bookmark140"/>
      <w:bookmarkEnd w:id="803"/>
      <w:r>
        <w:rPr>
          <w:rFonts w:ascii="宋体" w:hAnsi="宋体" w:cs="宋体"/>
          <w:color w:val="auto"/>
          <w:szCs w:val="24"/>
          <w:highlight w:val="none"/>
        </w:rPr>
        <w:t>13.4</w:t>
      </w:r>
      <w:r>
        <w:rPr>
          <w:rFonts w:ascii="宋体" w:hAnsi="宋体" w:cs="宋体"/>
          <w:color w:val="auto"/>
          <w:szCs w:val="24"/>
          <w:highlight w:val="none"/>
        </w:rPr>
        <w:tab/>
      </w:r>
      <w:r>
        <w:rPr>
          <w:rFonts w:ascii="宋体" w:hAnsi="宋体" w:cs="宋体"/>
          <w:color w:val="auto"/>
          <w:szCs w:val="24"/>
          <w:highlight w:val="none"/>
        </w:rPr>
        <w:t>监理人的质量检查</w:t>
      </w:r>
    </w:p>
    <w:p>
      <w:pPr>
        <w:adjustRightInd/>
        <w:spacing w:before="3" w:line="240" w:lineRule="exact"/>
        <w:ind w:firstLine="0" w:firstLineChars="0"/>
        <w:textAlignment w:val="auto"/>
        <w:rPr>
          <w:rFonts w:ascii="Calibri" w:hAnsi="Calibri"/>
          <w:color w:val="auto"/>
          <w:szCs w:val="24"/>
          <w:highlight w:val="none"/>
        </w:rPr>
      </w:pPr>
    </w:p>
    <w:p>
      <w:pPr>
        <w:tabs>
          <w:tab w:val="left" w:pos="8348"/>
        </w:tabs>
        <w:adjustRightInd/>
        <w:spacing w:line="316" w:lineRule="auto"/>
        <w:ind w:left="158" w:right="151" w:firstLine="419" w:firstLineChars="0"/>
        <w:textAlignment w:val="auto"/>
        <w:rPr>
          <w:rFonts w:ascii="宋体" w:hAnsi="宋体"/>
          <w:color w:val="auto"/>
          <w:sz w:val="21"/>
          <w:szCs w:val="21"/>
          <w:highlight w:val="none"/>
          <w:u w:val="single" w:color="000000"/>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应</w:t>
      </w:r>
      <w:r>
        <w:rPr>
          <w:rFonts w:ascii="宋体" w:hAnsi="宋体"/>
          <w:color w:val="auto"/>
          <w:spacing w:val="-3"/>
          <w:sz w:val="21"/>
          <w:szCs w:val="21"/>
          <w:highlight w:val="none"/>
        </w:rPr>
        <w:t>当</w:t>
      </w:r>
      <w:r>
        <w:rPr>
          <w:rFonts w:ascii="宋体" w:hAnsi="宋体"/>
          <w:color w:val="auto"/>
          <w:sz w:val="21"/>
          <w:szCs w:val="21"/>
          <w:highlight w:val="none"/>
        </w:rPr>
        <w:t>为</w:t>
      </w:r>
      <w:r>
        <w:rPr>
          <w:rFonts w:ascii="宋体" w:hAnsi="宋体"/>
          <w:color w:val="auto"/>
          <w:spacing w:val="-3"/>
          <w:sz w:val="21"/>
          <w:szCs w:val="21"/>
          <w:highlight w:val="none"/>
        </w:rPr>
        <w:t>监</w:t>
      </w:r>
      <w:r>
        <w:rPr>
          <w:rFonts w:ascii="宋体" w:hAnsi="宋体"/>
          <w:color w:val="auto"/>
          <w:sz w:val="21"/>
          <w:szCs w:val="21"/>
          <w:highlight w:val="none"/>
        </w:rPr>
        <w:t>理</w:t>
      </w:r>
      <w:r>
        <w:rPr>
          <w:rFonts w:ascii="宋体" w:hAnsi="宋体"/>
          <w:color w:val="auto"/>
          <w:spacing w:val="-3"/>
          <w:sz w:val="21"/>
          <w:szCs w:val="21"/>
          <w:highlight w:val="none"/>
        </w:rPr>
        <w:t>人</w:t>
      </w:r>
      <w:r>
        <w:rPr>
          <w:rFonts w:ascii="宋体" w:hAnsi="宋体"/>
          <w:color w:val="auto"/>
          <w:sz w:val="21"/>
          <w:szCs w:val="21"/>
          <w:highlight w:val="none"/>
        </w:rPr>
        <w:t>的</w:t>
      </w:r>
      <w:r>
        <w:rPr>
          <w:rFonts w:ascii="宋体" w:hAnsi="宋体"/>
          <w:color w:val="auto"/>
          <w:spacing w:val="-3"/>
          <w:sz w:val="21"/>
          <w:szCs w:val="21"/>
          <w:highlight w:val="none"/>
        </w:rPr>
        <w:t>检</w:t>
      </w:r>
      <w:r>
        <w:rPr>
          <w:rFonts w:ascii="宋体" w:hAnsi="宋体"/>
          <w:color w:val="auto"/>
          <w:sz w:val="21"/>
          <w:szCs w:val="21"/>
          <w:highlight w:val="none"/>
        </w:rPr>
        <w:t>查和</w:t>
      </w:r>
      <w:r>
        <w:rPr>
          <w:rFonts w:ascii="宋体" w:hAnsi="宋体"/>
          <w:color w:val="auto"/>
          <w:spacing w:val="-3"/>
          <w:sz w:val="21"/>
          <w:szCs w:val="21"/>
          <w:highlight w:val="none"/>
        </w:rPr>
        <w:t>检</w:t>
      </w:r>
      <w:r>
        <w:rPr>
          <w:rFonts w:ascii="宋体" w:hAnsi="宋体"/>
          <w:color w:val="auto"/>
          <w:sz w:val="21"/>
          <w:szCs w:val="21"/>
          <w:highlight w:val="none"/>
        </w:rPr>
        <w:t>验</w:t>
      </w:r>
      <w:r>
        <w:rPr>
          <w:rFonts w:ascii="宋体" w:hAnsi="宋体"/>
          <w:color w:val="auto"/>
          <w:spacing w:val="-3"/>
          <w:sz w:val="21"/>
          <w:szCs w:val="21"/>
          <w:highlight w:val="none"/>
        </w:rPr>
        <w:t>提</w:t>
      </w:r>
      <w:r>
        <w:rPr>
          <w:rFonts w:ascii="宋体" w:hAnsi="宋体"/>
          <w:color w:val="auto"/>
          <w:sz w:val="21"/>
          <w:szCs w:val="21"/>
          <w:highlight w:val="none"/>
        </w:rPr>
        <w:t>供</w:t>
      </w:r>
      <w:r>
        <w:rPr>
          <w:rFonts w:ascii="宋体" w:hAnsi="宋体"/>
          <w:color w:val="auto"/>
          <w:spacing w:val="-3"/>
          <w:sz w:val="21"/>
          <w:szCs w:val="21"/>
          <w:highlight w:val="none"/>
        </w:rPr>
        <w:t>方</w:t>
      </w:r>
      <w:r>
        <w:rPr>
          <w:rFonts w:ascii="宋体" w:hAnsi="宋体"/>
          <w:color w:val="auto"/>
          <w:sz w:val="21"/>
          <w:szCs w:val="21"/>
          <w:highlight w:val="none"/>
        </w:rPr>
        <w:t>便</w:t>
      </w:r>
      <w:r>
        <w:rPr>
          <w:rFonts w:ascii="宋体" w:hAnsi="宋体"/>
          <w:color w:val="auto"/>
          <w:spacing w:val="-92"/>
          <w:sz w:val="21"/>
          <w:szCs w:val="21"/>
          <w:highlight w:val="none"/>
        </w:rPr>
        <w:t>，</w:t>
      </w:r>
      <w:r>
        <w:rPr>
          <w:rFonts w:ascii="宋体" w:hAnsi="宋体"/>
          <w:color w:val="auto"/>
          <w:sz w:val="21"/>
          <w:szCs w:val="21"/>
          <w:highlight w:val="none"/>
        </w:rPr>
        <w:t>监</w:t>
      </w:r>
      <w:r>
        <w:rPr>
          <w:rFonts w:ascii="宋体" w:hAnsi="宋体"/>
          <w:color w:val="auto"/>
          <w:spacing w:val="-3"/>
          <w:sz w:val="21"/>
          <w:szCs w:val="21"/>
          <w:highlight w:val="none"/>
        </w:rPr>
        <w:t>理人</w:t>
      </w:r>
      <w:r>
        <w:rPr>
          <w:rFonts w:ascii="宋体" w:hAnsi="宋体"/>
          <w:color w:val="auto"/>
          <w:sz w:val="21"/>
          <w:szCs w:val="21"/>
          <w:highlight w:val="none"/>
        </w:rPr>
        <w:t>可以</w:t>
      </w:r>
      <w:r>
        <w:rPr>
          <w:rFonts w:ascii="宋体" w:hAnsi="宋体"/>
          <w:color w:val="auto"/>
          <w:spacing w:val="-3"/>
          <w:sz w:val="21"/>
          <w:szCs w:val="21"/>
          <w:highlight w:val="none"/>
        </w:rPr>
        <w:t>进</w:t>
      </w:r>
      <w:r>
        <w:rPr>
          <w:rFonts w:ascii="宋体" w:hAnsi="宋体"/>
          <w:color w:val="auto"/>
          <w:sz w:val="21"/>
          <w:szCs w:val="21"/>
          <w:highlight w:val="none"/>
        </w:rPr>
        <w:t>行</w:t>
      </w:r>
      <w:r>
        <w:rPr>
          <w:rFonts w:ascii="宋体" w:hAnsi="宋体"/>
          <w:color w:val="auto"/>
          <w:spacing w:val="-3"/>
          <w:sz w:val="21"/>
          <w:szCs w:val="21"/>
          <w:highlight w:val="none"/>
        </w:rPr>
        <w:t>察</w:t>
      </w:r>
      <w:r>
        <w:rPr>
          <w:rFonts w:ascii="宋体" w:hAnsi="宋体"/>
          <w:color w:val="auto"/>
          <w:sz w:val="21"/>
          <w:szCs w:val="21"/>
          <w:highlight w:val="none"/>
        </w:rPr>
        <w:t>看</w:t>
      </w:r>
      <w:r>
        <w:rPr>
          <w:rFonts w:ascii="宋体" w:hAnsi="宋体"/>
          <w:color w:val="auto"/>
          <w:spacing w:val="-3"/>
          <w:sz w:val="21"/>
          <w:szCs w:val="21"/>
          <w:highlight w:val="none"/>
        </w:rPr>
        <w:t>和</w:t>
      </w:r>
      <w:r>
        <w:rPr>
          <w:rFonts w:ascii="宋体" w:hAnsi="宋体"/>
          <w:color w:val="auto"/>
          <w:sz w:val="21"/>
          <w:szCs w:val="21"/>
          <w:highlight w:val="none"/>
        </w:rPr>
        <w:t>查</w:t>
      </w:r>
      <w:r>
        <w:rPr>
          <w:rFonts w:ascii="宋体" w:hAnsi="宋体"/>
          <w:color w:val="auto"/>
          <w:spacing w:val="-3"/>
          <w:sz w:val="21"/>
          <w:szCs w:val="21"/>
          <w:highlight w:val="none"/>
        </w:rPr>
        <w:t>阅</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原始</w:t>
      </w:r>
      <w:r>
        <w:rPr>
          <w:rFonts w:ascii="宋体" w:hAnsi="宋体"/>
          <w:color w:val="auto"/>
          <w:spacing w:val="-3"/>
          <w:sz w:val="21"/>
          <w:szCs w:val="21"/>
          <w:highlight w:val="none"/>
        </w:rPr>
        <w:t>记</w:t>
      </w:r>
      <w:r>
        <w:rPr>
          <w:rFonts w:ascii="宋体" w:hAnsi="宋体"/>
          <w:color w:val="auto"/>
          <w:sz w:val="21"/>
          <w:szCs w:val="21"/>
          <w:highlight w:val="none"/>
        </w:rPr>
        <w:t>录 的其</w:t>
      </w:r>
      <w:r>
        <w:rPr>
          <w:rFonts w:ascii="宋体" w:hAnsi="宋体"/>
          <w:color w:val="auto"/>
          <w:spacing w:val="-3"/>
          <w:sz w:val="21"/>
          <w:szCs w:val="21"/>
          <w:highlight w:val="none"/>
        </w:rPr>
        <w:t>他</w:t>
      </w:r>
      <w:r>
        <w:rPr>
          <w:rFonts w:ascii="宋体" w:hAnsi="宋体"/>
          <w:color w:val="auto"/>
          <w:sz w:val="21"/>
          <w:szCs w:val="21"/>
          <w:highlight w:val="none"/>
        </w:rPr>
        <w:t>地</w:t>
      </w:r>
      <w:r>
        <w:rPr>
          <w:rFonts w:ascii="宋体" w:hAnsi="宋体"/>
          <w:color w:val="auto"/>
          <w:spacing w:val="-3"/>
          <w:sz w:val="21"/>
          <w:szCs w:val="21"/>
          <w:highlight w:val="none"/>
        </w:rPr>
        <w:t>方</w:t>
      </w:r>
      <w:r>
        <w:rPr>
          <w:rFonts w:ascii="宋体" w:hAnsi="宋体"/>
          <w:color w:val="auto"/>
          <w:sz w:val="21"/>
          <w:szCs w:val="21"/>
          <w:highlight w:val="none"/>
        </w:rPr>
        <w:t>包</w:t>
      </w:r>
      <w:r>
        <w:rPr>
          <w:rFonts w:ascii="宋体" w:hAnsi="宋体"/>
          <w:color w:val="auto"/>
          <w:spacing w:val="-3"/>
          <w:sz w:val="21"/>
          <w:szCs w:val="21"/>
          <w:highlight w:val="none"/>
        </w:rPr>
        <w:t>括</w:t>
      </w:r>
      <w:r>
        <w:rPr>
          <w:rFonts w:ascii="宋体" w:hAnsi="宋体"/>
          <w:color w:val="auto"/>
          <w:spacing w:val="-1"/>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18"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04" w:name="_bookmark141"/>
      <w:bookmarkEnd w:id="804"/>
      <w:r>
        <w:rPr>
          <w:rFonts w:ascii="宋体" w:hAnsi="宋体" w:cs="宋体"/>
          <w:color w:val="auto"/>
          <w:szCs w:val="24"/>
          <w:highlight w:val="none"/>
        </w:rPr>
        <w:t>13.5</w:t>
      </w:r>
      <w:r>
        <w:rPr>
          <w:rFonts w:ascii="宋体" w:hAnsi="宋体" w:cs="宋体"/>
          <w:color w:val="auto"/>
          <w:szCs w:val="24"/>
          <w:highlight w:val="none"/>
        </w:rPr>
        <w:tab/>
      </w:r>
      <w:r>
        <w:rPr>
          <w:rFonts w:ascii="宋体" w:hAnsi="宋体" w:cs="宋体"/>
          <w:color w:val="auto"/>
          <w:szCs w:val="24"/>
          <w:highlight w:val="none"/>
        </w:rPr>
        <w:t>工程隐蔽部位覆盖前的检查</w:t>
      </w:r>
    </w:p>
    <w:p>
      <w:pPr>
        <w:adjustRightInd/>
        <w:spacing w:before="6" w:line="240" w:lineRule="exact"/>
        <w:ind w:firstLine="0" w:firstLineChars="0"/>
        <w:textAlignment w:val="auto"/>
        <w:rPr>
          <w:rFonts w:ascii="Calibri" w:hAnsi="Calibri"/>
          <w:color w:val="auto"/>
          <w:szCs w:val="24"/>
          <w:highlight w:val="none"/>
        </w:rPr>
      </w:pPr>
    </w:p>
    <w:p>
      <w:pPr>
        <w:tabs>
          <w:tab w:val="left" w:pos="1420"/>
          <w:tab w:val="left" w:pos="8453"/>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13.5.1</w:t>
      </w:r>
      <w:r>
        <w:rPr>
          <w:rFonts w:ascii="宋体" w:hAnsi="宋体" w:cs="宋体"/>
          <w:color w:val="auto"/>
          <w:sz w:val="21"/>
          <w:szCs w:val="21"/>
          <w:highlight w:val="none"/>
        </w:rPr>
        <w:tab/>
      </w:r>
      <w:r>
        <w:rPr>
          <w:rFonts w:ascii="宋体" w:hAnsi="宋体"/>
          <w:color w:val="auto"/>
          <w:spacing w:val="-3"/>
          <w:sz w:val="21"/>
          <w:szCs w:val="21"/>
          <w:highlight w:val="none"/>
        </w:rPr>
        <w:t>监</w:t>
      </w:r>
      <w:r>
        <w:rPr>
          <w:rFonts w:ascii="宋体" w:hAnsi="宋体"/>
          <w:color w:val="auto"/>
          <w:sz w:val="21"/>
          <w:szCs w:val="21"/>
          <w:highlight w:val="none"/>
        </w:rPr>
        <w:t>理</w:t>
      </w:r>
      <w:r>
        <w:rPr>
          <w:rFonts w:ascii="宋体" w:hAnsi="宋体"/>
          <w:color w:val="auto"/>
          <w:spacing w:val="-3"/>
          <w:sz w:val="21"/>
          <w:szCs w:val="21"/>
          <w:highlight w:val="none"/>
        </w:rPr>
        <w:t>人</w:t>
      </w:r>
      <w:r>
        <w:rPr>
          <w:rFonts w:ascii="宋体" w:hAnsi="宋体"/>
          <w:color w:val="auto"/>
          <w:sz w:val="21"/>
          <w:szCs w:val="21"/>
          <w:highlight w:val="none"/>
        </w:rPr>
        <w:t>对</w:t>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隐</w:t>
      </w:r>
      <w:r>
        <w:rPr>
          <w:rFonts w:ascii="宋体" w:hAnsi="宋体"/>
          <w:color w:val="auto"/>
          <w:sz w:val="21"/>
          <w:szCs w:val="21"/>
          <w:highlight w:val="none"/>
        </w:rPr>
        <w:t>蔽部</w:t>
      </w:r>
      <w:r>
        <w:rPr>
          <w:rFonts w:ascii="宋体" w:hAnsi="宋体"/>
          <w:color w:val="auto"/>
          <w:spacing w:val="-3"/>
          <w:sz w:val="21"/>
          <w:szCs w:val="21"/>
          <w:highlight w:val="none"/>
        </w:rPr>
        <w:t>位</w:t>
      </w:r>
      <w:r>
        <w:rPr>
          <w:rFonts w:ascii="宋体" w:hAnsi="宋体"/>
          <w:color w:val="auto"/>
          <w:sz w:val="21"/>
          <w:szCs w:val="21"/>
          <w:highlight w:val="none"/>
        </w:rPr>
        <w:t>进</w:t>
      </w:r>
      <w:r>
        <w:rPr>
          <w:rFonts w:ascii="宋体" w:hAnsi="宋体"/>
          <w:color w:val="auto"/>
          <w:spacing w:val="-3"/>
          <w:sz w:val="21"/>
          <w:szCs w:val="21"/>
          <w:highlight w:val="none"/>
        </w:rPr>
        <w:t>行</w:t>
      </w:r>
      <w:r>
        <w:rPr>
          <w:rFonts w:ascii="宋体" w:hAnsi="宋体"/>
          <w:color w:val="auto"/>
          <w:sz w:val="21"/>
          <w:szCs w:val="21"/>
          <w:highlight w:val="none"/>
        </w:rPr>
        <w:t>检</w:t>
      </w:r>
      <w:r>
        <w:rPr>
          <w:rFonts w:ascii="宋体" w:hAnsi="宋体"/>
          <w:color w:val="auto"/>
          <w:spacing w:val="-3"/>
          <w:sz w:val="21"/>
          <w:szCs w:val="21"/>
          <w:highlight w:val="none"/>
        </w:rPr>
        <w:t>查</w:t>
      </w:r>
      <w:r>
        <w:rPr>
          <w:rFonts w:ascii="宋体" w:hAnsi="宋体"/>
          <w:color w:val="auto"/>
          <w:sz w:val="21"/>
          <w:szCs w:val="21"/>
          <w:highlight w:val="none"/>
        </w:rPr>
        <w:t>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2"/>
          <w:sz w:val="21"/>
          <w:szCs w:val="21"/>
          <w:highlight w:val="none"/>
        </w:rPr>
        <w:t>：</w:t>
      </w:r>
      <w:r>
        <w:rPr>
          <w:rFonts w:hint="eastAsia" w:ascii="宋体" w:hAnsi="宋体"/>
          <w:color w:val="auto"/>
          <w:sz w:val="21"/>
          <w:szCs w:val="21"/>
          <w:highlight w:val="none"/>
          <w:u w:val="single"/>
        </w:rPr>
        <w:t>收到承包人通知后24小时内</w:t>
      </w:r>
    </w:p>
    <w:p>
      <w:pPr>
        <w:adjustRightInd/>
        <w:spacing w:before="4" w:line="220" w:lineRule="exact"/>
        <w:ind w:firstLine="0" w:firstLineChars="0"/>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05" w:name="_bookmark142"/>
      <w:bookmarkEnd w:id="805"/>
      <w:r>
        <w:rPr>
          <w:rFonts w:ascii="宋体" w:hAnsi="宋体" w:cs="宋体"/>
          <w:color w:val="auto"/>
          <w:sz w:val="28"/>
          <w:szCs w:val="28"/>
          <w:highlight w:val="none"/>
        </w:rPr>
        <w:t>1</w:t>
      </w:r>
      <w:r>
        <w:rPr>
          <w:rFonts w:ascii="宋体" w:hAnsi="宋体" w:cs="宋体"/>
          <w:color w:val="auto"/>
          <w:spacing w:val="-2"/>
          <w:sz w:val="28"/>
          <w:szCs w:val="28"/>
          <w:highlight w:val="none"/>
        </w:rPr>
        <w:t>5</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变更</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06" w:name="_bookmark143"/>
      <w:bookmarkEnd w:id="806"/>
      <w:r>
        <w:rPr>
          <w:rFonts w:ascii="宋体" w:hAnsi="宋体" w:cs="宋体"/>
          <w:color w:val="auto"/>
          <w:szCs w:val="24"/>
          <w:highlight w:val="none"/>
        </w:rPr>
        <w:t>15.1</w:t>
      </w:r>
      <w:r>
        <w:rPr>
          <w:rFonts w:ascii="宋体" w:hAnsi="宋体" w:cs="宋体"/>
          <w:color w:val="auto"/>
          <w:szCs w:val="24"/>
          <w:highlight w:val="none"/>
        </w:rPr>
        <w:tab/>
      </w:r>
      <w:r>
        <w:rPr>
          <w:rFonts w:ascii="宋体" w:hAnsi="宋体" w:cs="宋体"/>
          <w:color w:val="auto"/>
          <w:szCs w:val="24"/>
          <w:highlight w:val="none"/>
        </w:rPr>
        <w:t>变更的范围和内容</w:t>
      </w:r>
    </w:p>
    <w:p>
      <w:pPr>
        <w:adjustRightInd/>
        <w:spacing w:before="3" w:line="240" w:lineRule="exact"/>
        <w:ind w:firstLine="0" w:firstLineChars="0"/>
        <w:textAlignment w:val="auto"/>
        <w:rPr>
          <w:rFonts w:ascii="Calibri" w:hAnsi="Calibri"/>
          <w:color w:val="auto"/>
          <w:szCs w:val="24"/>
          <w:highlight w:val="none"/>
        </w:rPr>
      </w:pPr>
    </w:p>
    <w:p>
      <w:pPr>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15.1</w:t>
      </w:r>
      <w:r>
        <w:rPr>
          <w:rFonts w:ascii="宋体" w:hAnsi="宋体" w:cs="宋体"/>
          <w:color w:val="auto"/>
          <w:spacing w:val="-3"/>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在</w:t>
      </w:r>
      <w:r>
        <w:rPr>
          <w:rFonts w:ascii="宋体" w:hAnsi="宋体"/>
          <w:color w:val="auto"/>
          <w:sz w:val="21"/>
          <w:szCs w:val="21"/>
          <w:highlight w:val="none"/>
        </w:rPr>
        <w:t>履</w:t>
      </w:r>
      <w:r>
        <w:rPr>
          <w:rFonts w:ascii="宋体" w:hAnsi="宋体"/>
          <w:color w:val="auto"/>
          <w:spacing w:val="-3"/>
          <w:sz w:val="21"/>
          <w:szCs w:val="21"/>
          <w:highlight w:val="none"/>
        </w:rPr>
        <w:t>行</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中</w:t>
      </w:r>
      <w:r>
        <w:rPr>
          <w:rFonts w:ascii="宋体" w:hAnsi="宋体"/>
          <w:color w:val="auto"/>
          <w:spacing w:val="-3"/>
          <w:sz w:val="21"/>
          <w:szCs w:val="21"/>
          <w:highlight w:val="none"/>
        </w:rPr>
        <w:t>发生</w:t>
      </w:r>
      <w:r>
        <w:rPr>
          <w:rFonts w:ascii="宋体" w:hAnsi="宋体"/>
          <w:color w:val="auto"/>
          <w:sz w:val="21"/>
          <w:szCs w:val="21"/>
          <w:highlight w:val="none"/>
        </w:rPr>
        <w:t>以下</w:t>
      </w:r>
      <w:r>
        <w:rPr>
          <w:rFonts w:ascii="宋体" w:hAnsi="宋体"/>
          <w:color w:val="auto"/>
          <w:spacing w:val="-3"/>
          <w:sz w:val="21"/>
          <w:szCs w:val="21"/>
          <w:highlight w:val="none"/>
        </w:rPr>
        <w:t>情</w:t>
      </w:r>
      <w:r>
        <w:rPr>
          <w:rFonts w:ascii="宋体" w:hAnsi="宋体"/>
          <w:color w:val="auto"/>
          <w:sz w:val="21"/>
          <w:szCs w:val="21"/>
          <w:highlight w:val="none"/>
        </w:rPr>
        <w:t>形</w:t>
      </w:r>
      <w:r>
        <w:rPr>
          <w:rFonts w:ascii="宋体" w:hAnsi="宋体"/>
          <w:color w:val="auto"/>
          <w:spacing w:val="-3"/>
          <w:sz w:val="21"/>
          <w:szCs w:val="21"/>
          <w:highlight w:val="none"/>
        </w:rPr>
        <w:t>之</w:t>
      </w:r>
      <w:r>
        <w:rPr>
          <w:rFonts w:ascii="宋体" w:hAnsi="宋体"/>
          <w:color w:val="auto"/>
          <w:sz w:val="21"/>
          <w:szCs w:val="21"/>
          <w:highlight w:val="none"/>
        </w:rPr>
        <w:t>一</w:t>
      </w:r>
      <w:r>
        <w:rPr>
          <w:rFonts w:ascii="宋体" w:hAnsi="宋体"/>
          <w:color w:val="auto"/>
          <w:spacing w:val="-3"/>
          <w:sz w:val="21"/>
          <w:szCs w:val="21"/>
          <w:highlight w:val="none"/>
        </w:rPr>
        <w:t>，</w:t>
      </w:r>
      <w:r>
        <w:rPr>
          <w:rFonts w:ascii="宋体" w:hAnsi="宋体"/>
          <w:color w:val="auto"/>
          <w:sz w:val="21"/>
          <w:szCs w:val="21"/>
          <w:highlight w:val="none"/>
        </w:rPr>
        <w:t>应</w:t>
      </w:r>
      <w:r>
        <w:rPr>
          <w:rFonts w:ascii="宋体" w:hAnsi="宋体"/>
          <w:color w:val="auto"/>
          <w:spacing w:val="-3"/>
          <w:sz w:val="21"/>
          <w:szCs w:val="21"/>
          <w:highlight w:val="none"/>
        </w:rPr>
        <w:t>按</w:t>
      </w:r>
      <w:r>
        <w:rPr>
          <w:rFonts w:ascii="宋体" w:hAnsi="宋体"/>
          <w:color w:val="auto"/>
          <w:sz w:val="21"/>
          <w:szCs w:val="21"/>
          <w:highlight w:val="none"/>
        </w:rPr>
        <w:t>照</w:t>
      </w:r>
      <w:r>
        <w:rPr>
          <w:rFonts w:ascii="宋体" w:hAnsi="宋体"/>
          <w:color w:val="auto"/>
          <w:spacing w:val="-3"/>
          <w:sz w:val="21"/>
          <w:szCs w:val="21"/>
          <w:highlight w:val="none"/>
        </w:rPr>
        <w:t>本</w:t>
      </w:r>
      <w:r>
        <w:rPr>
          <w:rFonts w:ascii="宋体" w:hAnsi="宋体"/>
          <w:color w:val="auto"/>
          <w:sz w:val="21"/>
          <w:szCs w:val="21"/>
          <w:highlight w:val="none"/>
        </w:rPr>
        <w:t>条规</w:t>
      </w:r>
      <w:r>
        <w:rPr>
          <w:rFonts w:ascii="宋体" w:hAnsi="宋体"/>
          <w:color w:val="auto"/>
          <w:spacing w:val="-3"/>
          <w:sz w:val="21"/>
          <w:szCs w:val="21"/>
          <w:highlight w:val="none"/>
        </w:rPr>
        <w:t>定</w:t>
      </w:r>
      <w:r>
        <w:rPr>
          <w:rFonts w:ascii="宋体" w:hAnsi="宋体"/>
          <w:color w:val="auto"/>
          <w:sz w:val="21"/>
          <w:szCs w:val="21"/>
          <w:highlight w:val="none"/>
        </w:rPr>
        <w:t>进</w:t>
      </w:r>
      <w:r>
        <w:rPr>
          <w:rFonts w:ascii="宋体" w:hAnsi="宋体"/>
          <w:color w:val="auto"/>
          <w:spacing w:val="-3"/>
          <w:sz w:val="21"/>
          <w:szCs w:val="21"/>
          <w:highlight w:val="none"/>
        </w:rPr>
        <w:t>行</w:t>
      </w:r>
      <w:r>
        <w:rPr>
          <w:rFonts w:ascii="宋体" w:hAnsi="宋体"/>
          <w:color w:val="auto"/>
          <w:sz w:val="21"/>
          <w:szCs w:val="21"/>
          <w:highlight w:val="none"/>
        </w:rPr>
        <w:t>变</w:t>
      </w:r>
      <w:r>
        <w:rPr>
          <w:rFonts w:ascii="宋体" w:hAnsi="宋体"/>
          <w:color w:val="auto"/>
          <w:spacing w:val="-3"/>
          <w:sz w:val="21"/>
          <w:szCs w:val="21"/>
          <w:highlight w:val="none"/>
        </w:rPr>
        <w:t>更</w:t>
      </w:r>
      <w:r>
        <w:rPr>
          <w:rFonts w:ascii="宋体" w:hAnsi="宋体"/>
          <w:color w:val="auto"/>
          <w:sz w:val="21"/>
          <w:szCs w:val="21"/>
          <w:highlight w:val="none"/>
        </w:rPr>
        <w:t>。</w:t>
      </w:r>
    </w:p>
    <w:p>
      <w:pPr>
        <w:tabs>
          <w:tab w:val="left" w:pos="8453"/>
        </w:tabs>
        <w:adjustRightInd/>
        <w:spacing w:before="98"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6</w:t>
      </w:r>
      <w:r>
        <w:rPr>
          <w:rFonts w:ascii="宋体" w:hAnsi="宋体"/>
          <w:color w:val="auto"/>
          <w:spacing w:val="-3"/>
          <w:sz w:val="21"/>
          <w:szCs w:val="21"/>
          <w:highlight w:val="none"/>
        </w:rPr>
        <w:t>）</w:t>
      </w:r>
      <w:r>
        <w:rPr>
          <w:rFonts w:ascii="宋体" w:hAnsi="宋体"/>
          <w:color w:val="auto"/>
          <w:sz w:val="21"/>
          <w:szCs w:val="21"/>
          <w:highlight w:val="none"/>
        </w:rPr>
        <w:t>变</w:t>
      </w:r>
      <w:r>
        <w:rPr>
          <w:rFonts w:ascii="宋体" w:hAnsi="宋体"/>
          <w:color w:val="auto"/>
          <w:spacing w:val="-3"/>
          <w:sz w:val="21"/>
          <w:szCs w:val="21"/>
          <w:highlight w:val="none"/>
        </w:rPr>
        <w:t>更</w:t>
      </w:r>
      <w:r>
        <w:rPr>
          <w:rFonts w:ascii="宋体" w:hAnsi="宋体"/>
          <w:color w:val="auto"/>
          <w:sz w:val="21"/>
          <w:szCs w:val="21"/>
          <w:highlight w:val="none"/>
        </w:rPr>
        <w:t>的</w:t>
      </w:r>
      <w:r>
        <w:rPr>
          <w:rFonts w:ascii="宋体" w:hAnsi="宋体"/>
          <w:color w:val="auto"/>
          <w:spacing w:val="-3"/>
          <w:sz w:val="21"/>
          <w:szCs w:val="21"/>
          <w:highlight w:val="none"/>
        </w:rPr>
        <w:t>其</w:t>
      </w:r>
      <w:r>
        <w:rPr>
          <w:rFonts w:ascii="宋体" w:hAnsi="宋体"/>
          <w:color w:val="auto"/>
          <w:sz w:val="21"/>
          <w:szCs w:val="21"/>
          <w:highlight w:val="none"/>
        </w:rPr>
        <w:t>他</w:t>
      </w:r>
      <w:r>
        <w:rPr>
          <w:rFonts w:ascii="宋体" w:hAnsi="宋体"/>
          <w:color w:val="auto"/>
          <w:spacing w:val="-3"/>
          <w:sz w:val="21"/>
          <w:szCs w:val="21"/>
          <w:highlight w:val="none"/>
        </w:rPr>
        <w:t>情</w:t>
      </w:r>
      <w:r>
        <w:rPr>
          <w:rFonts w:ascii="宋体" w:hAnsi="宋体"/>
          <w:color w:val="auto"/>
          <w:sz w:val="21"/>
          <w:szCs w:val="21"/>
          <w:highlight w:val="none"/>
        </w:rPr>
        <w:t>形：</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color="000000"/>
        </w:rPr>
        <w:tab/>
      </w:r>
    </w:p>
    <w:p>
      <w:pPr>
        <w:adjustRightInd/>
        <w:spacing w:before="11"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07" w:name="_bookmark144"/>
      <w:bookmarkEnd w:id="807"/>
      <w:r>
        <w:rPr>
          <w:rFonts w:ascii="宋体" w:hAnsi="宋体" w:cs="宋体"/>
          <w:color w:val="auto"/>
          <w:szCs w:val="24"/>
          <w:highlight w:val="none"/>
        </w:rPr>
        <w:t>15.3</w:t>
      </w:r>
      <w:r>
        <w:rPr>
          <w:rFonts w:ascii="宋体" w:hAnsi="宋体" w:cs="宋体"/>
          <w:color w:val="auto"/>
          <w:szCs w:val="24"/>
          <w:highlight w:val="none"/>
        </w:rPr>
        <w:tab/>
      </w:r>
      <w:r>
        <w:rPr>
          <w:rFonts w:ascii="宋体" w:hAnsi="宋体" w:cs="宋体"/>
          <w:color w:val="auto"/>
          <w:szCs w:val="24"/>
          <w:highlight w:val="none"/>
        </w:rPr>
        <w:t>变更程序</w:t>
      </w:r>
    </w:p>
    <w:p>
      <w:pPr>
        <w:adjustRightInd/>
        <w:spacing w:before="3" w:line="240" w:lineRule="exact"/>
        <w:ind w:firstLine="0" w:firstLineChars="0"/>
        <w:textAlignment w:val="auto"/>
        <w:rPr>
          <w:rFonts w:ascii="Calibri" w:hAnsi="Calibri"/>
          <w:color w:val="auto"/>
          <w:szCs w:val="24"/>
          <w:highlight w:val="none"/>
        </w:rPr>
      </w:pPr>
    </w:p>
    <w:p>
      <w:pPr>
        <w:numPr>
          <w:ilvl w:val="2"/>
          <w:numId w:val="11"/>
        </w:numPr>
        <w:tabs>
          <w:tab w:val="left" w:pos="1420"/>
        </w:tabs>
        <w:adjustRightInd/>
        <w:spacing w:line="240" w:lineRule="auto"/>
        <w:ind w:firstLineChars="0"/>
        <w:jc w:val="both"/>
        <w:textAlignment w:val="auto"/>
        <w:rPr>
          <w:rFonts w:ascii="宋体" w:hAnsi="宋体"/>
          <w:color w:val="auto"/>
          <w:sz w:val="21"/>
          <w:szCs w:val="21"/>
          <w:highlight w:val="none"/>
        </w:rPr>
      </w:pPr>
      <w:r>
        <w:rPr>
          <w:rFonts w:ascii="宋体" w:hAnsi="宋体"/>
          <w:color w:val="auto"/>
          <w:spacing w:val="-3"/>
          <w:sz w:val="21"/>
          <w:szCs w:val="21"/>
          <w:highlight w:val="none"/>
        </w:rPr>
        <w:t>变</w:t>
      </w:r>
      <w:r>
        <w:rPr>
          <w:rFonts w:ascii="宋体" w:hAnsi="宋体"/>
          <w:color w:val="auto"/>
          <w:sz w:val="21"/>
          <w:szCs w:val="21"/>
          <w:highlight w:val="none"/>
        </w:rPr>
        <w:t>更</w:t>
      </w:r>
      <w:r>
        <w:rPr>
          <w:rFonts w:ascii="宋体" w:hAnsi="宋体"/>
          <w:color w:val="auto"/>
          <w:spacing w:val="-3"/>
          <w:sz w:val="21"/>
          <w:szCs w:val="21"/>
          <w:highlight w:val="none"/>
        </w:rPr>
        <w:t>估</w:t>
      </w:r>
      <w:r>
        <w:rPr>
          <w:rFonts w:ascii="宋体" w:hAnsi="宋体"/>
          <w:color w:val="auto"/>
          <w:sz w:val="21"/>
          <w:szCs w:val="21"/>
          <w:highlight w:val="none"/>
        </w:rPr>
        <w:t>价</w:t>
      </w:r>
    </w:p>
    <w:p>
      <w:pPr>
        <w:adjustRightInd/>
        <w:spacing w:before="1"/>
        <w:ind w:firstLine="0" w:firstLineChars="0"/>
        <w:textAlignment w:val="auto"/>
        <w:rPr>
          <w:rFonts w:ascii="Calibri" w:hAnsi="Calibri"/>
          <w:color w:val="auto"/>
          <w:sz w:val="10"/>
          <w:szCs w:val="10"/>
          <w:highlight w:val="none"/>
        </w:rPr>
      </w:pPr>
    </w:p>
    <w:p>
      <w:pPr>
        <w:tabs>
          <w:tab w:val="left" w:pos="8453"/>
        </w:tabs>
        <w:adjustRightInd/>
        <w:ind w:firstLine="525" w:firstLineChars="250"/>
        <w:textAlignment w:val="auto"/>
        <w:rPr>
          <w:rFonts w:ascii="宋体" w:hAnsi="宋体"/>
          <w:color w:val="auto"/>
          <w:spacing w:val="-3"/>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交</w:t>
      </w:r>
      <w:r>
        <w:rPr>
          <w:rFonts w:ascii="宋体" w:hAnsi="宋体"/>
          <w:color w:val="auto"/>
          <w:spacing w:val="-3"/>
          <w:sz w:val="21"/>
          <w:szCs w:val="21"/>
          <w:highlight w:val="none"/>
        </w:rPr>
        <w:t>变</w:t>
      </w:r>
      <w:r>
        <w:rPr>
          <w:rFonts w:ascii="宋体" w:hAnsi="宋体"/>
          <w:color w:val="auto"/>
          <w:sz w:val="21"/>
          <w:szCs w:val="21"/>
          <w:highlight w:val="none"/>
        </w:rPr>
        <w:t>更</w:t>
      </w:r>
      <w:r>
        <w:rPr>
          <w:rFonts w:ascii="宋体" w:hAnsi="宋体"/>
          <w:color w:val="auto"/>
          <w:spacing w:val="-3"/>
          <w:sz w:val="21"/>
          <w:szCs w:val="21"/>
          <w:highlight w:val="none"/>
        </w:rPr>
        <w:t>报价</w:t>
      </w:r>
      <w:r>
        <w:rPr>
          <w:rFonts w:ascii="宋体" w:hAnsi="宋体"/>
          <w:color w:val="auto"/>
          <w:sz w:val="21"/>
          <w:szCs w:val="21"/>
          <w:highlight w:val="none"/>
        </w:rPr>
        <w:t>书的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olor w:val="auto"/>
          <w:sz w:val="21"/>
          <w:szCs w:val="21"/>
          <w:highlight w:val="none"/>
          <w:u w:val="single"/>
        </w:rPr>
        <w:t>承包人收到变更指示或变更意向书后</w:t>
      </w:r>
      <w:r>
        <w:rPr>
          <w:rFonts w:ascii="宋体" w:hAnsi="宋体"/>
          <w:color w:val="auto"/>
          <w:sz w:val="21"/>
          <w:szCs w:val="21"/>
          <w:highlight w:val="none"/>
          <w:u w:val="single"/>
        </w:rPr>
        <w:t>14</w:t>
      </w:r>
      <w:r>
        <w:rPr>
          <w:rFonts w:hint="eastAsia" w:ascii="宋体" w:hAnsi="宋体"/>
          <w:color w:val="auto"/>
          <w:sz w:val="21"/>
          <w:szCs w:val="21"/>
          <w:highlight w:val="none"/>
          <w:u w:val="single"/>
        </w:rPr>
        <w:t xml:space="preserve">天内，超过14天未提交变更报价书的视为承包人认为该变更不发生经济费用  </w:t>
      </w:r>
      <w:r>
        <w:rPr>
          <w:rFonts w:hint="eastAsia" w:ascii="宋体" w:hAnsi="宋体"/>
          <w:color w:val="auto"/>
          <w:sz w:val="21"/>
          <w:szCs w:val="21"/>
          <w:highlight w:val="none"/>
        </w:rPr>
        <w:t>。</w:t>
      </w:r>
    </w:p>
    <w:p>
      <w:pPr>
        <w:tabs>
          <w:tab w:val="left" w:pos="8453"/>
        </w:tabs>
        <w:adjustRightInd/>
        <w:ind w:left="578"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监</w:t>
      </w:r>
      <w:r>
        <w:rPr>
          <w:rFonts w:ascii="宋体" w:hAnsi="宋体"/>
          <w:color w:val="auto"/>
          <w:spacing w:val="-3"/>
          <w:sz w:val="21"/>
          <w:szCs w:val="21"/>
          <w:highlight w:val="none"/>
        </w:rPr>
        <w:t>理</w:t>
      </w:r>
      <w:r>
        <w:rPr>
          <w:rFonts w:ascii="宋体" w:hAnsi="宋体"/>
          <w:color w:val="auto"/>
          <w:sz w:val="21"/>
          <w:szCs w:val="21"/>
          <w:highlight w:val="none"/>
        </w:rPr>
        <w:t>人</w:t>
      </w:r>
      <w:r>
        <w:rPr>
          <w:rFonts w:ascii="宋体" w:hAnsi="宋体"/>
          <w:color w:val="auto"/>
          <w:spacing w:val="-3"/>
          <w:sz w:val="21"/>
          <w:szCs w:val="21"/>
          <w:highlight w:val="none"/>
        </w:rPr>
        <w:t>商</w:t>
      </w:r>
      <w:r>
        <w:rPr>
          <w:rFonts w:ascii="宋体" w:hAnsi="宋体"/>
          <w:color w:val="auto"/>
          <w:sz w:val="21"/>
          <w:szCs w:val="21"/>
          <w:highlight w:val="none"/>
        </w:rPr>
        <w:t>定</w:t>
      </w:r>
      <w:r>
        <w:rPr>
          <w:rFonts w:ascii="宋体" w:hAnsi="宋体"/>
          <w:color w:val="auto"/>
          <w:spacing w:val="-3"/>
          <w:sz w:val="21"/>
          <w:szCs w:val="21"/>
          <w:highlight w:val="none"/>
        </w:rPr>
        <w:t>或</w:t>
      </w:r>
      <w:r>
        <w:rPr>
          <w:rFonts w:ascii="宋体" w:hAnsi="宋体"/>
          <w:color w:val="auto"/>
          <w:sz w:val="21"/>
          <w:szCs w:val="21"/>
          <w:highlight w:val="none"/>
        </w:rPr>
        <w:t>确</w:t>
      </w:r>
      <w:r>
        <w:rPr>
          <w:rFonts w:ascii="宋体" w:hAnsi="宋体"/>
          <w:color w:val="auto"/>
          <w:spacing w:val="-3"/>
          <w:sz w:val="21"/>
          <w:szCs w:val="21"/>
          <w:highlight w:val="none"/>
        </w:rPr>
        <w:t>定变</w:t>
      </w:r>
      <w:r>
        <w:rPr>
          <w:rFonts w:ascii="宋体" w:hAnsi="宋体"/>
          <w:color w:val="auto"/>
          <w:sz w:val="21"/>
          <w:szCs w:val="21"/>
          <w:highlight w:val="none"/>
        </w:rPr>
        <w:t>更价</w:t>
      </w:r>
      <w:r>
        <w:rPr>
          <w:rFonts w:ascii="宋体" w:hAnsi="宋体"/>
          <w:color w:val="auto"/>
          <w:spacing w:val="-3"/>
          <w:sz w:val="21"/>
          <w:szCs w:val="21"/>
          <w:highlight w:val="none"/>
        </w:rPr>
        <w:t>格</w:t>
      </w:r>
      <w:r>
        <w:rPr>
          <w:rFonts w:ascii="宋体" w:hAnsi="宋体"/>
          <w:color w:val="auto"/>
          <w:sz w:val="21"/>
          <w:szCs w:val="21"/>
          <w:highlight w:val="none"/>
        </w:rPr>
        <w:t>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olor w:val="auto"/>
          <w:sz w:val="21"/>
          <w:szCs w:val="21"/>
          <w:highlight w:val="none"/>
          <w:u w:val="single"/>
        </w:rPr>
        <w:t>监理人收到承包人变更报价书后的</w:t>
      </w:r>
      <w:r>
        <w:rPr>
          <w:rFonts w:ascii="宋体" w:hAnsi="宋体"/>
          <w:color w:val="auto"/>
          <w:sz w:val="21"/>
          <w:szCs w:val="21"/>
          <w:highlight w:val="none"/>
          <w:u w:val="single"/>
        </w:rPr>
        <w:t>14</w:t>
      </w:r>
      <w:r>
        <w:rPr>
          <w:rFonts w:hint="eastAsia" w:ascii="宋体" w:hAnsi="宋体"/>
          <w:color w:val="auto"/>
          <w:sz w:val="21"/>
          <w:szCs w:val="21"/>
          <w:highlight w:val="none"/>
          <w:u w:val="single"/>
        </w:rPr>
        <w:t>天内</w:t>
      </w:r>
      <w:r>
        <w:rPr>
          <w:rFonts w:hint="eastAsia" w:ascii="宋体" w:hAnsi="宋体"/>
          <w:color w:val="auto"/>
          <w:sz w:val="21"/>
          <w:szCs w:val="21"/>
          <w:highlight w:val="none"/>
        </w:rPr>
        <w:t>。</w:t>
      </w: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08" w:name="_bookmark145"/>
      <w:bookmarkEnd w:id="808"/>
    </w:p>
    <w:p>
      <w:pPr>
        <w:tabs>
          <w:tab w:val="left" w:pos="877"/>
        </w:tabs>
        <w:adjustRightInd/>
        <w:spacing w:line="340" w:lineRule="exact"/>
        <w:ind w:left="158" w:firstLine="0" w:firstLineChars="0"/>
        <w:textAlignment w:val="auto"/>
        <w:rPr>
          <w:rFonts w:ascii="宋体" w:hAnsi="宋体" w:cs="宋体"/>
          <w:color w:val="auto"/>
          <w:szCs w:val="24"/>
          <w:highlight w:val="none"/>
        </w:rPr>
      </w:pPr>
      <w:r>
        <w:rPr>
          <w:rFonts w:ascii="宋体" w:hAnsi="宋体" w:cs="宋体"/>
          <w:color w:val="auto"/>
          <w:szCs w:val="24"/>
          <w:highlight w:val="none"/>
        </w:rPr>
        <w:t>15.4</w:t>
      </w:r>
      <w:r>
        <w:rPr>
          <w:rFonts w:ascii="宋体" w:hAnsi="宋体" w:cs="宋体"/>
          <w:color w:val="auto"/>
          <w:szCs w:val="24"/>
          <w:highlight w:val="none"/>
        </w:rPr>
        <w:tab/>
      </w:r>
      <w:r>
        <w:rPr>
          <w:rFonts w:ascii="宋体" w:hAnsi="宋体" w:cs="宋体"/>
          <w:color w:val="auto"/>
          <w:szCs w:val="24"/>
          <w:highlight w:val="none"/>
        </w:rPr>
        <w:t>变更的估价原则</w:t>
      </w:r>
    </w:p>
    <w:p>
      <w:pPr>
        <w:adjustRightInd/>
        <w:spacing w:before="5" w:line="240" w:lineRule="exact"/>
        <w:ind w:firstLine="0" w:firstLineChars="0"/>
        <w:textAlignment w:val="auto"/>
        <w:rPr>
          <w:rFonts w:ascii="Calibri" w:hAnsi="Calibri"/>
          <w:color w:val="auto"/>
          <w:szCs w:val="24"/>
          <w:highlight w:val="none"/>
        </w:rPr>
      </w:pPr>
    </w:p>
    <w:p>
      <w:pPr>
        <w:tabs>
          <w:tab w:val="left" w:pos="5261"/>
          <w:tab w:val="left" w:pos="6262"/>
          <w:tab w:val="left" w:pos="7525"/>
        </w:tabs>
        <w:adjustRightInd/>
        <w:spacing w:line="316" w:lineRule="auto"/>
        <w:ind w:left="158" w:right="151" w:firstLine="419" w:firstLineChars="0"/>
        <w:jc w:val="both"/>
        <w:textAlignment w:val="auto"/>
        <w:rPr>
          <w:rFonts w:ascii="宋体" w:hAnsi="宋体"/>
          <w:color w:val="auto"/>
          <w:sz w:val="21"/>
          <w:szCs w:val="21"/>
          <w:highlight w:val="none"/>
        </w:rPr>
      </w:pPr>
      <w:r>
        <w:rPr>
          <w:rFonts w:ascii="宋体" w:hAnsi="宋体" w:cs="宋体"/>
          <w:color w:val="auto"/>
          <w:sz w:val="21"/>
          <w:szCs w:val="21"/>
          <w:highlight w:val="none"/>
        </w:rPr>
        <w:t>15.4.5</w:t>
      </w:r>
      <w:r>
        <w:rPr>
          <w:rFonts w:ascii="宋体" w:hAnsi="宋体"/>
          <w:color w:val="auto"/>
          <w:spacing w:val="-3"/>
          <w:sz w:val="21"/>
          <w:szCs w:val="21"/>
          <w:highlight w:val="none"/>
        </w:rPr>
        <w:t>合</w:t>
      </w:r>
      <w:r>
        <w:rPr>
          <w:rFonts w:ascii="宋体" w:hAnsi="宋体"/>
          <w:color w:val="auto"/>
          <w:sz w:val="21"/>
          <w:szCs w:val="21"/>
          <w:highlight w:val="none"/>
        </w:rPr>
        <w:t>同</w:t>
      </w:r>
      <w:r>
        <w:rPr>
          <w:rFonts w:ascii="宋体" w:hAnsi="宋体"/>
          <w:color w:val="auto"/>
          <w:spacing w:val="-3"/>
          <w:sz w:val="21"/>
          <w:szCs w:val="21"/>
          <w:highlight w:val="none"/>
        </w:rPr>
        <w:t>协</w:t>
      </w:r>
      <w:r>
        <w:rPr>
          <w:rFonts w:ascii="宋体" w:hAnsi="宋体"/>
          <w:color w:val="auto"/>
          <w:sz w:val="21"/>
          <w:szCs w:val="21"/>
          <w:highlight w:val="none"/>
        </w:rPr>
        <w:t>议</w:t>
      </w:r>
      <w:r>
        <w:rPr>
          <w:rFonts w:ascii="宋体" w:hAnsi="宋体"/>
          <w:color w:val="auto"/>
          <w:spacing w:val="-3"/>
          <w:sz w:val="21"/>
          <w:szCs w:val="21"/>
          <w:highlight w:val="none"/>
        </w:rPr>
        <w:t>书</w:t>
      </w:r>
      <w:r>
        <w:rPr>
          <w:rFonts w:ascii="宋体" w:hAnsi="宋体"/>
          <w:color w:val="auto"/>
          <w:sz w:val="21"/>
          <w:szCs w:val="21"/>
          <w:highlight w:val="none"/>
        </w:rPr>
        <w:t>约</w:t>
      </w:r>
      <w:r>
        <w:rPr>
          <w:rFonts w:ascii="宋体" w:hAnsi="宋体"/>
          <w:color w:val="auto"/>
          <w:spacing w:val="-3"/>
          <w:sz w:val="21"/>
          <w:szCs w:val="21"/>
          <w:highlight w:val="none"/>
        </w:rPr>
        <w:t>定</w:t>
      </w:r>
      <w:r>
        <w:rPr>
          <w:rFonts w:ascii="宋体" w:hAnsi="宋体"/>
          <w:color w:val="auto"/>
          <w:sz w:val="21"/>
          <w:szCs w:val="21"/>
          <w:highlight w:val="none"/>
        </w:rPr>
        <w:t>采用</w:t>
      </w:r>
      <w:r>
        <w:rPr>
          <w:rFonts w:ascii="宋体" w:hAnsi="宋体"/>
          <w:color w:val="auto"/>
          <w:spacing w:val="-3"/>
          <w:sz w:val="21"/>
          <w:szCs w:val="21"/>
          <w:highlight w:val="none"/>
        </w:rPr>
        <w:t>单</w:t>
      </w:r>
      <w:r>
        <w:rPr>
          <w:rFonts w:ascii="宋体" w:hAnsi="宋体"/>
          <w:color w:val="auto"/>
          <w:sz w:val="21"/>
          <w:szCs w:val="21"/>
          <w:highlight w:val="none"/>
        </w:rPr>
        <w:t>价</w:t>
      </w:r>
      <w:r>
        <w:rPr>
          <w:rFonts w:ascii="宋体" w:hAnsi="宋体"/>
          <w:color w:val="auto"/>
          <w:spacing w:val="-3"/>
          <w:sz w:val="21"/>
          <w:szCs w:val="21"/>
          <w:highlight w:val="none"/>
        </w:rPr>
        <w:t>合</w:t>
      </w:r>
      <w:r>
        <w:rPr>
          <w:rFonts w:ascii="宋体" w:hAnsi="宋体"/>
          <w:color w:val="auto"/>
          <w:sz w:val="21"/>
          <w:szCs w:val="21"/>
          <w:highlight w:val="none"/>
        </w:rPr>
        <w:t>同</w:t>
      </w:r>
      <w:r>
        <w:rPr>
          <w:rFonts w:ascii="宋体" w:hAnsi="宋体"/>
          <w:color w:val="auto"/>
          <w:spacing w:val="-3"/>
          <w:sz w:val="21"/>
          <w:szCs w:val="21"/>
          <w:highlight w:val="none"/>
        </w:rPr>
        <w:t>形</w:t>
      </w:r>
      <w:r>
        <w:rPr>
          <w:rFonts w:ascii="宋体" w:hAnsi="宋体"/>
          <w:color w:val="auto"/>
          <w:sz w:val="21"/>
          <w:szCs w:val="21"/>
          <w:highlight w:val="none"/>
        </w:rPr>
        <w:t>式</w:t>
      </w:r>
      <w:r>
        <w:rPr>
          <w:rFonts w:ascii="宋体" w:hAnsi="宋体"/>
          <w:color w:val="auto"/>
          <w:spacing w:val="-3"/>
          <w:sz w:val="21"/>
          <w:szCs w:val="21"/>
          <w:highlight w:val="none"/>
        </w:rPr>
        <w:t>时</w:t>
      </w:r>
      <w:r>
        <w:rPr>
          <w:rFonts w:ascii="宋体" w:hAnsi="宋体"/>
          <w:color w:val="auto"/>
          <w:spacing w:val="-89"/>
          <w:sz w:val="21"/>
          <w:szCs w:val="21"/>
          <w:highlight w:val="none"/>
        </w:rPr>
        <w:t>，</w:t>
      </w:r>
      <w:r>
        <w:rPr>
          <w:rFonts w:ascii="宋体" w:hAnsi="宋体"/>
          <w:color w:val="auto"/>
          <w:spacing w:val="-3"/>
          <w:sz w:val="21"/>
          <w:szCs w:val="21"/>
          <w:highlight w:val="none"/>
        </w:rPr>
        <w:t>因非</w:t>
      </w: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原</w:t>
      </w:r>
      <w:r>
        <w:rPr>
          <w:rFonts w:ascii="宋体" w:hAnsi="宋体"/>
          <w:color w:val="auto"/>
          <w:spacing w:val="-3"/>
          <w:sz w:val="21"/>
          <w:szCs w:val="21"/>
          <w:highlight w:val="none"/>
        </w:rPr>
        <w:t>因</w:t>
      </w:r>
      <w:r>
        <w:rPr>
          <w:rFonts w:ascii="宋体" w:hAnsi="宋体"/>
          <w:color w:val="auto"/>
          <w:sz w:val="21"/>
          <w:szCs w:val="21"/>
          <w:highlight w:val="none"/>
        </w:rPr>
        <w:t>引</w:t>
      </w:r>
      <w:r>
        <w:rPr>
          <w:rFonts w:ascii="宋体" w:hAnsi="宋体"/>
          <w:color w:val="auto"/>
          <w:spacing w:val="-3"/>
          <w:sz w:val="21"/>
          <w:szCs w:val="21"/>
          <w:highlight w:val="none"/>
        </w:rPr>
        <w:t>起</w:t>
      </w:r>
      <w:r>
        <w:rPr>
          <w:rFonts w:ascii="宋体" w:hAnsi="宋体"/>
          <w:color w:val="auto"/>
          <w:sz w:val="21"/>
          <w:szCs w:val="21"/>
          <w:highlight w:val="none"/>
        </w:rPr>
        <w:t>已</w:t>
      </w:r>
      <w:r>
        <w:rPr>
          <w:rFonts w:ascii="宋体" w:hAnsi="宋体"/>
          <w:color w:val="auto"/>
          <w:spacing w:val="-3"/>
          <w:sz w:val="21"/>
          <w:szCs w:val="21"/>
          <w:highlight w:val="none"/>
        </w:rPr>
        <w:t>标</w:t>
      </w:r>
      <w:r>
        <w:rPr>
          <w:rFonts w:ascii="宋体" w:hAnsi="宋体"/>
          <w:color w:val="auto"/>
          <w:sz w:val="21"/>
          <w:szCs w:val="21"/>
          <w:highlight w:val="none"/>
        </w:rPr>
        <w:t>价</w:t>
      </w:r>
      <w:r>
        <w:rPr>
          <w:rFonts w:ascii="宋体" w:hAnsi="宋体"/>
          <w:color w:val="auto"/>
          <w:spacing w:val="-3"/>
          <w:sz w:val="21"/>
          <w:szCs w:val="21"/>
          <w:highlight w:val="none"/>
        </w:rPr>
        <w:t>工</w:t>
      </w:r>
      <w:r>
        <w:rPr>
          <w:rFonts w:ascii="宋体" w:hAnsi="宋体"/>
          <w:color w:val="auto"/>
          <w:sz w:val="21"/>
          <w:szCs w:val="21"/>
          <w:highlight w:val="none"/>
        </w:rPr>
        <w:t>程量</w:t>
      </w:r>
      <w:r>
        <w:rPr>
          <w:rFonts w:ascii="宋体" w:hAnsi="宋体"/>
          <w:color w:val="auto"/>
          <w:spacing w:val="-3"/>
          <w:sz w:val="21"/>
          <w:szCs w:val="21"/>
          <w:highlight w:val="none"/>
        </w:rPr>
        <w:t>清</w:t>
      </w:r>
      <w:r>
        <w:rPr>
          <w:rFonts w:ascii="宋体" w:hAnsi="宋体"/>
          <w:color w:val="auto"/>
          <w:sz w:val="21"/>
          <w:szCs w:val="21"/>
          <w:highlight w:val="none"/>
        </w:rPr>
        <w:t>单 中列明</w:t>
      </w:r>
      <w:r>
        <w:rPr>
          <w:rFonts w:ascii="宋体" w:hAnsi="宋体"/>
          <w:color w:val="auto"/>
          <w:spacing w:val="-3"/>
          <w:sz w:val="21"/>
          <w:szCs w:val="21"/>
          <w:highlight w:val="none"/>
        </w:rPr>
        <w:t>的</w:t>
      </w:r>
      <w:r>
        <w:rPr>
          <w:rFonts w:ascii="宋体" w:hAnsi="宋体"/>
          <w:color w:val="auto"/>
          <w:sz w:val="21"/>
          <w:szCs w:val="21"/>
          <w:highlight w:val="none"/>
        </w:rPr>
        <w:t>工程</w:t>
      </w:r>
      <w:r>
        <w:rPr>
          <w:rFonts w:ascii="宋体" w:hAnsi="宋体"/>
          <w:color w:val="auto"/>
          <w:spacing w:val="-3"/>
          <w:sz w:val="21"/>
          <w:szCs w:val="21"/>
          <w:highlight w:val="none"/>
        </w:rPr>
        <w:t>量</w:t>
      </w:r>
      <w:r>
        <w:rPr>
          <w:rFonts w:ascii="宋体" w:hAnsi="宋体"/>
          <w:color w:val="auto"/>
          <w:sz w:val="21"/>
          <w:szCs w:val="21"/>
          <w:highlight w:val="none"/>
        </w:rPr>
        <w:t>发生</w:t>
      </w:r>
      <w:r>
        <w:rPr>
          <w:rFonts w:ascii="宋体" w:hAnsi="宋体"/>
          <w:color w:val="auto"/>
          <w:spacing w:val="-3"/>
          <w:sz w:val="21"/>
          <w:szCs w:val="21"/>
          <w:highlight w:val="none"/>
        </w:rPr>
        <w:t>增减</w:t>
      </w:r>
      <w:r>
        <w:rPr>
          <w:rFonts w:ascii="宋体" w:hAnsi="宋体"/>
          <w:color w:val="auto"/>
          <w:sz w:val="21"/>
          <w:szCs w:val="21"/>
          <w:highlight w:val="none"/>
        </w:rPr>
        <w:t>，且单</w:t>
      </w:r>
      <w:r>
        <w:rPr>
          <w:rFonts w:ascii="宋体" w:hAnsi="宋体"/>
          <w:color w:val="auto"/>
          <w:spacing w:val="-3"/>
          <w:sz w:val="21"/>
          <w:szCs w:val="21"/>
          <w:highlight w:val="none"/>
        </w:rPr>
        <w:t>个</w:t>
      </w:r>
      <w:r>
        <w:rPr>
          <w:rFonts w:ascii="宋体" w:hAnsi="宋体"/>
          <w:color w:val="auto"/>
          <w:sz w:val="21"/>
          <w:szCs w:val="21"/>
          <w:highlight w:val="none"/>
        </w:rPr>
        <w:t>子目</w:t>
      </w:r>
      <w:r>
        <w:rPr>
          <w:rFonts w:ascii="宋体" w:hAnsi="宋体"/>
          <w:color w:val="auto"/>
          <w:spacing w:val="-3"/>
          <w:sz w:val="21"/>
          <w:szCs w:val="21"/>
          <w:highlight w:val="none"/>
        </w:rPr>
        <w:t>工</w:t>
      </w:r>
      <w:r>
        <w:rPr>
          <w:rFonts w:ascii="宋体" w:hAnsi="宋体"/>
          <w:color w:val="auto"/>
          <w:sz w:val="21"/>
          <w:szCs w:val="21"/>
          <w:highlight w:val="none"/>
        </w:rPr>
        <w:t>程量</w:t>
      </w:r>
      <w:r>
        <w:rPr>
          <w:rFonts w:ascii="宋体" w:hAnsi="宋体"/>
          <w:color w:val="auto"/>
          <w:spacing w:val="-3"/>
          <w:sz w:val="21"/>
          <w:szCs w:val="21"/>
          <w:highlight w:val="none"/>
        </w:rPr>
        <w:t>变化</w:t>
      </w:r>
      <w:r>
        <w:rPr>
          <w:rFonts w:ascii="宋体" w:hAnsi="宋体"/>
          <w:color w:val="auto"/>
          <w:sz w:val="21"/>
          <w:szCs w:val="21"/>
          <w:highlight w:val="none"/>
        </w:rPr>
        <w:t>幅度在</w:t>
      </w:r>
      <w:r>
        <w:rPr>
          <w:rFonts w:hint="eastAsia" w:ascii="宋体" w:hAnsi="宋体" w:cs="宋体"/>
          <w:color w:val="auto"/>
          <w:sz w:val="21"/>
          <w:szCs w:val="21"/>
          <w:highlight w:val="none"/>
          <w:u w:val="single" w:color="000000"/>
        </w:rPr>
        <w:t>15</w:t>
      </w:r>
      <w:r>
        <w:rPr>
          <w:rFonts w:ascii="宋体" w:hAnsi="宋体" w:cs="宋体"/>
          <w:color w:val="auto"/>
          <w:sz w:val="21"/>
          <w:szCs w:val="21"/>
          <w:highlight w:val="none"/>
        </w:rPr>
        <w:t>%</w:t>
      </w:r>
      <w:r>
        <w:rPr>
          <w:rFonts w:ascii="宋体" w:hAnsi="宋体"/>
          <w:color w:val="auto"/>
          <w:sz w:val="21"/>
          <w:szCs w:val="21"/>
          <w:highlight w:val="none"/>
        </w:rPr>
        <w:t>以</w:t>
      </w:r>
      <w:r>
        <w:rPr>
          <w:rFonts w:ascii="宋体" w:hAnsi="宋体"/>
          <w:color w:val="auto"/>
          <w:spacing w:val="-3"/>
          <w:sz w:val="21"/>
          <w:szCs w:val="21"/>
          <w:highlight w:val="none"/>
        </w:rPr>
        <w:t>内</w:t>
      </w:r>
      <w:r>
        <w:rPr>
          <w:rFonts w:ascii="宋体" w:hAnsi="宋体"/>
          <w:color w:val="auto"/>
          <w:sz w:val="21"/>
          <w:szCs w:val="21"/>
          <w:highlight w:val="none"/>
        </w:rPr>
        <w:t>（</w:t>
      </w:r>
      <w:r>
        <w:rPr>
          <w:rFonts w:ascii="宋体" w:hAnsi="宋体"/>
          <w:color w:val="auto"/>
          <w:spacing w:val="-3"/>
          <w:sz w:val="21"/>
          <w:szCs w:val="21"/>
          <w:highlight w:val="none"/>
        </w:rPr>
        <w:t>含</w:t>
      </w:r>
      <w:r>
        <w:rPr>
          <w:rFonts w:ascii="宋体" w:hAnsi="宋体"/>
          <w:color w:val="auto"/>
          <w:sz w:val="21"/>
          <w:szCs w:val="21"/>
          <w:highlight w:val="none"/>
        </w:rPr>
        <w:t>）时，</w:t>
      </w:r>
      <w:r>
        <w:rPr>
          <w:rFonts w:ascii="宋体" w:hAnsi="宋体"/>
          <w:color w:val="auto"/>
          <w:spacing w:val="-3"/>
          <w:sz w:val="21"/>
          <w:szCs w:val="21"/>
          <w:highlight w:val="none"/>
        </w:rPr>
        <w:t>应</w:t>
      </w:r>
      <w:r>
        <w:rPr>
          <w:rFonts w:ascii="宋体" w:hAnsi="宋体"/>
          <w:color w:val="auto"/>
          <w:sz w:val="21"/>
          <w:szCs w:val="21"/>
          <w:highlight w:val="none"/>
        </w:rPr>
        <w:t>执行 已标价</w:t>
      </w:r>
      <w:r>
        <w:rPr>
          <w:rFonts w:ascii="宋体" w:hAnsi="宋体"/>
          <w:color w:val="auto"/>
          <w:spacing w:val="-3"/>
          <w:sz w:val="21"/>
          <w:szCs w:val="21"/>
          <w:highlight w:val="none"/>
        </w:rPr>
        <w:t>工</w:t>
      </w:r>
      <w:r>
        <w:rPr>
          <w:rFonts w:ascii="宋体" w:hAnsi="宋体"/>
          <w:color w:val="auto"/>
          <w:sz w:val="21"/>
          <w:szCs w:val="21"/>
          <w:highlight w:val="none"/>
        </w:rPr>
        <w:t>程量</w:t>
      </w:r>
      <w:r>
        <w:rPr>
          <w:rFonts w:ascii="宋体" w:hAnsi="宋体"/>
          <w:color w:val="auto"/>
          <w:spacing w:val="-3"/>
          <w:sz w:val="21"/>
          <w:szCs w:val="21"/>
          <w:highlight w:val="none"/>
        </w:rPr>
        <w:t>清</w:t>
      </w:r>
      <w:r>
        <w:rPr>
          <w:rFonts w:ascii="宋体" w:hAnsi="宋体"/>
          <w:color w:val="auto"/>
          <w:sz w:val="21"/>
          <w:szCs w:val="21"/>
          <w:highlight w:val="none"/>
        </w:rPr>
        <w:t>单中</w:t>
      </w:r>
      <w:r>
        <w:rPr>
          <w:rFonts w:ascii="宋体" w:hAnsi="宋体"/>
          <w:color w:val="auto"/>
          <w:spacing w:val="-3"/>
          <w:sz w:val="21"/>
          <w:szCs w:val="21"/>
          <w:highlight w:val="none"/>
        </w:rPr>
        <w:t>列明</w:t>
      </w:r>
      <w:r>
        <w:rPr>
          <w:rFonts w:ascii="宋体" w:hAnsi="宋体"/>
          <w:color w:val="auto"/>
          <w:sz w:val="21"/>
          <w:szCs w:val="21"/>
          <w:highlight w:val="none"/>
        </w:rPr>
        <w:t>的该子</w:t>
      </w:r>
      <w:r>
        <w:rPr>
          <w:rFonts w:ascii="宋体" w:hAnsi="宋体"/>
          <w:color w:val="auto"/>
          <w:spacing w:val="-3"/>
          <w:sz w:val="21"/>
          <w:szCs w:val="21"/>
          <w:highlight w:val="none"/>
        </w:rPr>
        <w:t>目</w:t>
      </w:r>
      <w:r>
        <w:rPr>
          <w:rFonts w:ascii="宋体" w:hAnsi="宋体"/>
          <w:color w:val="auto"/>
          <w:sz w:val="21"/>
          <w:szCs w:val="21"/>
          <w:highlight w:val="none"/>
        </w:rPr>
        <w:t>的单</w:t>
      </w:r>
      <w:r>
        <w:rPr>
          <w:rFonts w:ascii="宋体" w:hAnsi="宋体"/>
          <w:color w:val="auto"/>
          <w:spacing w:val="-3"/>
          <w:sz w:val="21"/>
          <w:szCs w:val="21"/>
          <w:highlight w:val="none"/>
        </w:rPr>
        <w:t>价</w:t>
      </w:r>
      <w:r>
        <w:rPr>
          <w:rFonts w:ascii="宋体" w:hAnsi="宋体"/>
          <w:color w:val="auto"/>
          <w:sz w:val="21"/>
          <w:szCs w:val="21"/>
          <w:highlight w:val="none"/>
        </w:rPr>
        <w:t>；单</w:t>
      </w:r>
      <w:r>
        <w:rPr>
          <w:rFonts w:ascii="宋体" w:hAnsi="宋体"/>
          <w:color w:val="auto"/>
          <w:spacing w:val="-3"/>
          <w:sz w:val="21"/>
          <w:szCs w:val="21"/>
          <w:highlight w:val="none"/>
        </w:rPr>
        <w:t>个子</w:t>
      </w:r>
      <w:r>
        <w:rPr>
          <w:rFonts w:ascii="宋体" w:hAnsi="宋体"/>
          <w:color w:val="auto"/>
          <w:sz w:val="21"/>
          <w:szCs w:val="21"/>
          <w:highlight w:val="none"/>
        </w:rPr>
        <w:t>目工程</w:t>
      </w:r>
      <w:r>
        <w:rPr>
          <w:rFonts w:ascii="宋体" w:hAnsi="宋体"/>
          <w:color w:val="auto"/>
          <w:spacing w:val="-3"/>
          <w:sz w:val="21"/>
          <w:szCs w:val="21"/>
          <w:highlight w:val="none"/>
        </w:rPr>
        <w:t>量</w:t>
      </w:r>
      <w:r>
        <w:rPr>
          <w:rFonts w:ascii="宋体" w:hAnsi="宋体"/>
          <w:color w:val="auto"/>
          <w:sz w:val="21"/>
          <w:szCs w:val="21"/>
          <w:highlight w:val="none"/>
        </w:rPr>
        <w:t>变化</w:t>
      </w:r>
      <w:r>
        <w:rPr>
          <w:rFonts w:ascii="宋体" w:hAnsi="宋体"/>
          <w:color w:val="auto"/>
          <w:spacing w:val="-3"/>
          <w:sz w:val="21"/>
          <w:szCs w:val="21"/>
          <w:highlight w:val="none"/>
        </w:rPr>
        <w:t>幅</w:t>
      </w:r>
      <w:r>
        <w:rPr>
          <w:rFonts w:ascii="宋体" w:hAnsi="宋体"/>
          <w:color w:val="auto"/>
          <w:sz w:val="21"/>
          <w:szCs w:val="21"/>
          <w:highlight w:val="none"/>
        </w:rPr>
        <w:t>度在</w:t>
      </w:r>
      <w:r>
        <w:rPr>
          <w:rFonts w:hint="eastAsia" w:ascii="宋体" w:hAnsi="宋体"/>
          <w:color w:val="auto"/>
          <w:sz w:val="21"/>
          <w:szCs w:val="21"/>
          <w:highlight w:val="none"/>
          <w:u w:val="single" w:color="000000"/>
        </w:rPr>
        <w:t>15</w:t>
      </w:r>
      <w:r>
        <w:rPr>
          <w:rFonts w:ascii="宋体" w:hAnsi="宋体" w:cs="宋体"/>
          <w:color w:val="auto"/>
          <w:sz w:val="21"/>
          <w:szCs w:val="21"/>
          <w:highlight w:val="none"/>
        </w:rPr>
        <w:t>%</w:t>
      </w:r>
      <w:r>
        <w:rPr>
          <w:rFonts w:ascii="宋体" w:hAnsi="宋体"/>
          <w:color w:val="auto"/>
          <w:sz w:val="21"/>
          <w:szCs w:val="21"/>
          <w:highlight w:val="none"/>
        </w:rPr>
        <w:t>以外</w:t>
      </w:r>
      <w:r>
        <w:rPr>
          <w:rFonts w:ascii="宋体" w:hAnsi="宋体"/>
          <w:color w:val="auto"/>
          <w:spacing w:val="-3"/>
          <w:sz w:val="21"/>
          <w:szCs w:val="21"/>
          <w:highlight w:val="none"/>
        </w:rPr>
        <w:t>（</w:t>
      </w:r>
      <w:r>
        <w:rPr>
          <w:rFonts w:ascii="宋体" w:hAnsi="宋体"/>
          <w:color w:val="auto"/>
          <w:sz w:val="21"/>
          <w:szCs w:val="21"/>
          <w:highlight w:val="none"/>
        </w:rPr>
        <w:t>不 含</w:t>
      </w:r>
      <w:r>
        <w:rPr>
          <w:rFonts w:ascii="宋体" w:hAnsi="宋体"/>
          <w:color w:val="auto"/>
          <w:spacing w:val="-108"/>
          <w:sz w:val="21"/>
          <w:szCs w:val="21"/>
          <w:highlight w:val="none"/>
        </w:rPr>
        <w:t>）</w:t>
      </w:r>
      <w:r>
        <w:rPr>
          <w:rFonts w:ascii="宋体" w:hAnsi="宋体"/>
          <w:color w:val="auto"/>
          <w:spacing w:val="-44"/>
          <w:sz w:val="21"/>
          <w:szCs w:val="21"/>
          <w:highlight w:val="none"/>
        </w:rPr>
        <w:t>，</w:t>
      </w:r>
      <w:r>
        <w:rPr>
          <w:rFonts w:ascii="宋体" w:hAnsi="宋体"/>
          <w:color w:val="auto"/>
          <w:spacing w:val="-3"/>
          <w:sz w:val="21"/>
          <w:szCs w:val="21"/>
          <w:highlight w:val="none"/>
        </w:rPr>
        <w:t>且</w:t>
      </w:r>
      <w:r>
        <w:rPr>
          <w:rFonts w:ascii="宋体" w:hAnsi="宋体"/>
          <w:color w:val="auto"/>
          <w:spacing w:val="-1"/>
          <w:sz w:val="21"/>
          <w:szCs w:val="21"/>
          <w:highlight w:val="none"/>
        </w:rPr>
        <w:t>导</w:t>
      </w:r>
      <w:r>
        <w:rPr>
          <w:rFonts w:ascii="宋体" w:hAnsi="宋体"/>
          <w:color w:val="auto"/>
          <w:spacing w:val="-3"/>
          <w:sz w:val="21"/>
          <w:szCs w:val="21"/>
          <w:highlight w:val="none"/>
        </w:rPr>
        <w:t>致</w:t>
      </w:r>
      <w:r>
        <w:rPr>
          <w:rFonts w:ascii="宋体" w:hAnsi="宋体"/>
          <w:color w:val="auto"/>
          <w:sz w:val="21"/>
          <w:szCs w:val="21"/>
          <w:highlight w:val="none"/>
        </w:rPr>
        <w:t>分</w:t>
      </w:r>
      <w:r>
        <w:rPr>
          <w:rFonts w:ascii="宋体" w:hAnsi="宋体"/>
          <w:color w:val="auto"/>
          <w:spacing w:val="-3"/>
          <w:sz w:val="21"/>
          <w:szCs w:val="21"/>
          <w:highlight w:val="none"/>
        </w:rPr>
        <w:t>部</w:t>
      </w:r>
      <w:r>
        <w:rPr>
          <w:rFonts w:ascii="宋体" w:hAnsi="宋体"/>
          <w:color w:val="auto"/>
          <w:sz w:val="21"/>
          <w:szCs w:val="21"/>
          <w:highlight w:val="none"/>
        </w:rPr>
        <w:t>分</w:t>
      </w:r>
      <w:r>
        <w:rPr>
          <w:rFonts w:ascii="宋体" w:hAnsi="宋体"/>
          <w:color w:val="auto"/>
          <w:spacing w:val="-3"/>
          <w:sz w:val="21"/>
          <w:szCs w:val="21"/>
          <w:highlight w:val="none"/>
        </w:rPr>
        <w:t>项</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费总</w:t>
      </w:r>
      <w:r>
        <w:rPr>
          <w:rFonts w:ascii="宋体" w:hAnsi="宋体"/>
          <w:color w:val="auto"/>
          <w:spacing w:val="-3"/>
          <w:sz w:val="21"/>
          <w:szCs w:val="21"/>
          <w:highlight w:val="none"/>
        </w:rPr>
        <w:t>额</w:t>
      </w:r>
      <w:r>
        <w:rPr>
          <w:rFonts w:ascii="宋体" w:hAnsi="宋体"/>
          <w:color w:val="auto"/>
          <w:sz w:val="21"/>
          <w:szCs w:val="21"/>
          <w:highlight w:val="none"/>
        </w:rPr>
        <w:t>变</w:t>
      </w:r>
      <w:r>
        <w:rPr>
          <w:rFonts w:ascii="宋体" w:hAnsi="宋体"/>
          <w:color w:val="auto"/>
          <w:spacing w:val="-3"/>
          <w:sz w:val="21"/>
          <w:szCs w:val="21"/>
          <w:highlight w:val="none"/>
        </w:rPr>
        <w:t>化</w:t>
      </w:r>
      <w:r>
        <w:rPr>
          <w:rFonts w:ascii="宋体" w:hAnsi="宋体"/>
          <w:color w:val="auto"/>
          <w:sz w:val="21"/>
          <w:szCs w:val="21"/>
          <w:highlight w:val="none"/>
        </w:rPr>
        <w:t>幅</w:t>
      </w:r>
      <w:r>
        <w:rPr>
          <w:rFonts w:ascii="宋体" w:hAnsi="宋体"/>
          <w:color w:val="auto"/>
          <w:spacing w:val="-3"/>
          <w:sz w:val="21"/>
          <w:szCs w:val="21"/>
          <w:highlight w:val="none"/>
        </w:rPr>
        <w:t>度</w:t>
      </w:r>
      <w:r>
        <w:rPr>
          <w:rFonts w:ascii="宋体" w:hAnsi="宋体"/>
          <w:color w:val="auto"/>
          <w:sz w:val="21"/>
          <w:szCs w:val="21"/>
          <w:highlight w:val="none"/>
        </w:rPr>
        <w:t>超</w:t>
      </w:r>
      <w:r>
        <w:rPr>
          <w:rFonts w:ascii="宋体" w:hAnsi="宋体"/>
          <w:color w:val="auto"/>
          <w:spacing w:val="-3"/>
          <w:sz w:val="21"/>
          <w:szCs w:val="21"/>
          <w:highlight w:val="none"/>
        </w:rPr>
        <w:t>过</w:t>
      </w:r>
      <w:r>
        <w:rPr>
          <w:rFonts w:hint="eastAsia" w:ascii="宋体" w:hAnsi="宋体" w:cs="宋体"/>
          <w:color w:val="auto"/>
          <w:spacing w:val="-3"/>
          <w:sz w:val="21"/>
          <w:szCs w:val="21"/>
          <w:highlight w:val="none"/>
          <w:u w:val="single" w:color="000000"/>
        </w:rPr>
        <w:t>2</w:t>
      </w:r>
      <w:r>
        <w:rPr>
          <w:rFonts w:ascii="宋体" w:hAnsi="宋体" w:cs="宋体"/>
          <w:color w:val="auto"/>
          <w:sz w:val="21"/>
          <w:szCs w:val="21"/>
          <w:highlight w:val="none"/>
        </w:rPr>
        <w:t>%</w:t>
      </w:r>
      <w:r>
        <w:rPr>
          <w:rFonts w:ascii="宋体" w:hAnsi="宋体"/>
          <w:color w:val="auto"/>
          <w:spacing w:val="-3"/>
          <w:sz w:val="21"/>
          <w:szCs w:val="21"/>
          <w:highlight w:val="none"/>
        </w:rPr>
        <w:t>时</w:t>
      </w:r>
      <w:r>
        <w:rPr>
          <w:rFonts w:ascii="宋体" w:hAnsi="宋体"/>
          <w:color w:val="auto"/>
          <w:spacing w:val="-46"/>
          <w:sz w:val="21"/>
          <w:szCs w:val="21"/>
          <w:highlight w:val="none"/>
        </w:rPr>
        <w:t>，</w:t>
      </w:r>
      <w:r>
        <w:rPr>
          <w:rFonts w:ascii="宋体" w:hAnsi="宋体"/>
          <w:color w:val="auto"/>
          <w:sz w:val="21"/>
          <w:szCs w:val="21"/>
          <w:highlight w:val="none"/>
        </w:rPr>
        <w:t>由</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出并</w:t>
      </w:r>
      <w:r>
        <w:rPr>
          <w:rFonts w:ascii="宋体" w:hAnsi="宋体"/>
          <w:color w:val="auto"/>
          <w:sz w:val="21"/>
          <w:szCs w:val="21"/>
          <w:highlight w:val="none"/>
        </w:rPr>
        <w:t>由监</w:t>
      </w:r>
      <w:r>
        <w:rPr>
          <w:rFonts w:ascii="宋体" w:hAnsi="宋体"/>
          <w:color w:val="auto"/>
          <w:spacing w:val="-3"/>
          <w:sz w:val="21"/>
          <w:szCs w:val="21"/>
          <w:highlight w:val="none"/>
        </w:rPr>
        <w:t>理</w:t>
      </w:r>
      <w:r>
        <w:rPr>
          <w:rFonts w:ascii="宋体" w:hAnsi="宋体"/>
          <w:color w:val="auto"/>
          <w:sz w:val="21"/>
          <w:szCs w:val="21"/>
          <w:highlight w:val="none"/>
        </w:rPr>
        <w:t>人</w:t>
      </w:r>
      <w:r>
        <w:rPr>
          <w:rFonts w:ascii="宋体" w:hAnsi="宋体"/>
          <w:color w:val="auto"/>
          <w:spacing w:val="-3"/>
          <w:sz w:val="21"/>
          <w:szCs w:val="21"/>
          <w:highlight w:val="none"/>
        </w:rPr>
        <w:t>按</w:t>
      </w:r>
      <w:r>
        <w:rPr>
          <w:rFonts w:ascii="宋体" w:hAnsi="宋体"/>
          <w:color w:val="auto"/>
          <w:sz w:val="21"/>
          <w:szCs w:val="21"/>
          <w:highlight w:val="none"/>
        </w:rPr>
        <w:t xml:space="preserve">第 </w:t>
      </w:r>
      <w:r>
        <w:rPr>
          <w:rFonts w:ascii="宋体" w:hAnsi="宋体" w:cs="宋体"/>
          <w:color w:val="auto"/>
          <w:sz w:val="21"/>
          <w:szCs w:val="21"/>
          <w:highlight w:val="none"/>
        </w:rPr>
        <w:t>3.5</w:t>
      </w:r>
      <w:r>
        <w:rPr>
          <w:rFonts w:ascii="宋体" w:hAnsi="宋体"/>
          <w:color w:val="auto"/>
          <w:spacing w:val="-3"/>
          <w:sz w:val="21"/>
          <w:szCs w:val="21"/>
          <w:highlight w:val="none"/>
        </w:rPr>
        <w:t>款</w:t>
      </w:r>
      <w:r>
        <w:rPr>
          <w:rFonts w:ascii="宋体" w:hAnsi="宋体"/>
          <w:color w:val="auto"/>
          <w:sz w:val="21"/>
          <w:szCs w:val="21"/>
          <w:highlight w:val="none"/>
        </w:rPr>
        <w:t>商</w:t>
      </w:r>
      <w:r>
        <w:rPr>
          <w:rFonts w:ascii="宋体" w:hAnsi="宋体"/>
          <w:color w:val="auto"/>
          <w:spacing w:val="-3"/>
          <w:sz w:val="21"/>
          <w:szCs w:val="21"/>
          <w:highlight w:val="none"/>
        </w:rPr>
        <w:t>定</w:t>
      </w:r>
      <w:r>
        <w:rPr>
          <w:rFonts w:ascii="宋体" w:hAnsi="宋体"/>
          <w:color w:val="auto"/>
          <w:sz w:val="21"/>
          <w:szCs w:val="21"/>
          <w:highlight w:val="none"/>
        </w:rPr>
        <w:t>或</w:t>
      </w:r>
      <w:r>
        <w:rPr>
          <w:rFonts w:ascii="宋体" w:hAnsi="宋体"/>
          <w:color w:val="auto"/>
          <w:spacing w:val="-3"/>
          <w:sz w:val="21"/>
          <w:szCs w:val="21"/>
          <w:highlight w:val="none"/>
        </w:rPr>
        <w:t>确</w:t>
      </w:r>
      <w:r>
        <w:rPr>
          <w:rFonts w:ascii="宋体" w:hAnsi="宋体"/>
          <w:color w:val="auto"/>
          <w:sz w:val="21"/>
          <w:szCs w:val="21"/>
          <w:highlight w:val="none"/>
        </w:rPr>
        <w:t>定</w:t>
      </w:r>
      <w:r>
        <w:rPr>
          <w:rFonts w:ascii="宋体" w:hAnsi="宋体"/>
          <w:color w:val="auto"/>
          <w:spacing w:val="-3"/>
          <w:sz w:val="21"/>
          <w:szCs w:val="21"/>
          <w:highlight w:val="none"/>
        </w:rPr>
        <w:t>新</w:t>
      </w:r>
      <w:r>
        <w:rPr>
          <w:rFonts w:ascii="宋体" w:hAnsi="宋体"/>
          <w:color w:val="auto"/>
          <w:sz w:val="21"/>
          <w:szCs w:val="21"/>
          <w:highlight w:val="none"/>
        </w:rPr>
        <w:t>的</w:t>
      </w:r>
      <w:r>
        <w:rPr>
          <w:rFonts w:ascii="宋体" w:hAnsi="宋体"/>
          <w:color w:val="auto"/>
          <w:spacing w:val="-3"/>
          <w:sz w:val="21"/>
          <w:szCs w:val="21"/>
          <w:highlight w:val="none"/>
        </w:rPr>
        <w:t>单</w:t>
      </w:r>
      <w:r>
        <w:rPr>
          <w:rFonts w:ascii="宋体" w:hAnsi="宋体"/>
          <w:color w:val="auto"/>
          <w:sz w:val="21"/>
          <w:szCs w:val="21"/>
          <w:highlight w:val="none"/>
        </w:rPr>
        <w:t>价，</w:t>
      </w:r>
      <w:r>
        <w:rPr>
          <w:rFonts w:ascii="宋体" w:hAnsi="宋体"/>
          <w:color w:val="auto"/>
          <w:spacing w:val="-3"/>
          <w:sz w:val="21"/>
          <w:szCs w:val="21"/>
          <w:highlight w:val="none"/>
        </w:rPr>
        <w:t>该</w:t>
      </w:r>
      <w:r>
        <w:rPr>
          <w:rFonts w:ascii="宋体" w:hAnsi="宋体"/>
          <w:color w:val="auto"/>
          <w:sz w:val="21"/>
          <w:szCs w:val="21"/>
          <w:highlight w:val="none"/>
        </w:rPr>
        <w:t>子</w:t>
      </w:r>
      <w:r>
        <w:rPr>
          <w:rFonts w:ascii="宋体" w:hAnsi="宋体"/>
          <w:color w:val="auto"/>
          <w:spacing w:val="-3"/>
          <w:sz w:val="21"/>
          <w:szCs w:val="21"/>
          <w:highlight w:val="none"/>
        </w:rPr>
        <w:t>目</w:t>
      </w:r>
      <w:r>
        <w:rPr>
          <w:rFonts w:ascii="宋体" w:hAnsi="宋体"/>
          <w:color w:val="auto"/>
          <w:sz w:val="21"/>
          <w:szCs w:val="21"/>
          <w:highlight w:val="none"/>
        </w:rPr>
        <w:t>按</w:t>
      </w:r>
      <w:r>
        <w:rPr>
          <w:rFonts w:ascii="宋体" w:hAnsi="宋体"/>
          <w:color w:val="auto"/>
          <w:spacing w:val="-3"/>
          <w:sz w:val="21"/>
          <w:szCs w:val="21"/>
          <w:highlight w:val="none"/>
        </w:rPr>
        <w:t>修</w:t>
      </w:r>
      <w:r>
        <w:rPr>
          <w:rFonts w:ascii="宋体" w:hAnsi="宋体"/>
          <w:color w:val="auto"/>
          <w:sz w:val="21"/>
          <w:szCs w:val="21"/>
          <w:highlight w:val="none"/>
        </w:rPr>
        <w:t>正</w:t>
      </w:r>
      <w:r>
        <w:rPr>
          <w:rFonts w:ascii="宋体" w:hAnsi="宋体"/>
          <w:color w:val="auto"/>
          <w:spacing w:val="-3"/>
          <w:sz w:val="21"/>
          <w:szCs w:val="21"/>
          <w:highlight w:val="none"/>
        </w:rPr>
        <w:t>后</w:t>
      </w:r>
      <w:r>
        <w:rPr>
          <w:rFonts w:ascii="宋体" w:hAnsi="宋体"/>
          <w:color w:val="auto"/>
          <w:sz w:val="21"/>
          <w:szCs w:val="21"/>
          <w:highlight w:val="none"/>
        </w:rPr>
        <w:t>的</w:t>
      </w:r>
      <w:r>
        <w:rPr>
          <w:rFonts w:ascii="宋体" w:hAnsi="宋体"/>
          <w:color w:val="auto"/>
          <w:spacing w:val="-3"/>
          <w:sz w:val="21"/>
          <w:szCs w:val="21"/>
          <w:highlight w:val="none"/>
        </w:rPr>
        <w:t>新</w:t>
      </w:r>
      <w:r>
        <w:rPr>
          <w:rFonts w:ascii="宋体" w:hAnsi="宋体"/>
          <w:color w:val="auto"/>
          <w:sz w:val="21"/>
          <w:szCs w:val="21"/>
          <w:highlight w:val="none"/>
        </w:rPr>
        <w:t>的单</w:t>
      </w:r>
      <w:r>
        <w:rPr>
          <w:rFonts w:ascii="宋体" w:hAnsi="宋体"/>
          <w:color w:val="auto"/>
          <w:spacing w:val="-3"/>
          <w:sz w:val="21"/>
          <w:szCs w:val="21"/>
          <w:highlight w:val="none"/>
        </w:rPr>
        <w:t>价</w:t>
      </w:r>
      <w:r>
        <w:rPr>
          <w:rFonts w:ascii="宋体" w:hAnsi="宋体"/>
          <w:color w:val="auto"/>
          <w:sz w:val="21"/>
          <w:szCs w:val="21"/>
          <w:highlight w:val="none"/>
        </w:rPr>
        <w:t>计</w:t>
      </w:r>
      <w:r>
        <w:rPr>
          <w:rFonts w:ascii="宋体" w:hAnsi="宋体"/>
          <w:color w:val="auto"/>
          <w:spacing w:val="-3"/>
          <w:sz w:val="21"/>
          <w:szCs w:val="21"/>
          <w:highlight w:val="none"/>
        </w:rPr>
        <w:t>价</w:t>
      </w:r>
      <w:r>
        <w:rPr>
          <w:rFonts w:ascii="宋体" w:hAnsi="宋体"/>
          <w:color w:val="auto"/>
          <w:sz w:val="21"/>
          <w:szCs w:val="21"/>
          <w:highlight w:val="none"/>
        </w:rPr>
        <w:t>。</w:t>
      </w:r>
    </w:p>
    <w:p>
      <w:pPr>
        <w:spacing w:line="312" w:lineRule="auto"/>
        <w:ind w:firstLine="525" w:firstLineChars="250"/>
        <w:rPr>
          <w:rFonts w:ascii="宋体" w:hAnsi="宋体" w:cs="宋体"/>
          <w:color w:val="auto"/>
          <w:sz w:val="21"/>
          <w:szCs w:val="21"/>
          <w:highlight w:val="none"/>
          <w:u w:val="single"/>
        </w:rPr>
      </w:pPr>
      <w:r>
        <w:rPr>
          <w:rFonts w:ascii="宋体" w:hAnsi="宋体" w:cs="宋体"/>
          <w:color w:val="auto"/>
          <w:sz w:val="21"/>
          <w:szCs w:val="21"/>
          <w:highlight w:val="none"/>
        </w:rPr>
        <w:t>15.4.6</w:t>
      </w:r>
      <w:r>
        <w:rPr>
          <w:rFonts w:ascii="宋体" w:hAnsi="宋体" w:cs="宋体"/>
          <w:color w:val="auto"/>
          <w:sz w:val="21"/>
          <w:szCs w:val="21"/>
          <w:highlight w:val="none"/>
        </w:rPr>
        <w:tab/>
      </w:r>
      <w:r>
        <w:rPr>
          <w:rFonts w:ascii="宋体" w:hAnsi="宋体"/>
          <w:color w:val="auto"/>
          <w:spacing w:val="-3"/>
          <w:sz w:val="21"/>
          <w:szCs w:val="21"/>
          <w:highlight w:val="none"/>
        </w:rPr>
        <w:t>因</w:t>
      </w:r>
      <w:r>
        <w:rPr>
          <w:rFonts w:ascii="宋体" w:hAnsi="宋体"/>
          <w:color w:val="auto"/>
          <w:sz w:val="21"/>
          <w:szCs w:val="21"/>
          <w:highlight w:val="none"/>
        </w:rPr>
        <w:t>变</w:t>
      </w:r>
      <w:r>
        <w:rPr>
          <w:rFonts w:ascii="宋体" w:hAnsi="宋体"/>
          <w:color w:val="auto"/>
          <w:spacing w:val="-3"/>
          <w:sz w:val="21"/>
          <w:szCs w:val="21"/>
          <w:highlight w:val="none"/>
        </w:rPr>
        <w:t>更</w:t>
      </w:r>
      <w:r>
        <w:rPr>
          <w:rFonts w:ascii="宋体" w:hAnsi="宋体"/>
          <w:color w:val="auto"/>
          <w:sz w:val="21"/>
          <w:szCs w:val="21"/>
          <w:highlight w:val="none"/>
        </w:rPr>
        <w:t>引</w:t>
      </w:r>
      <w:r>
        <w:rPr>
          <w:rFonts w:ascii="宋体" w:hAnsi="宋体"/>
          <w:color w:val="auto"/>
          <w:spacing w:val="-3"/>
          <w:sz w:val="21"/>
          <w:szCs w:val="21"/>
          <w:highlight w:val="none"/>
        </w:rPr>
        <w:t>起</w:t>
      </w:r>
      <w:r>
        <w:rPr>
          <w:rFonts w:ascii="宋体" w:hAnsi="宋体"/>
          <w:color w:val="auto"/>
          <w:sz w:val="21"/>
          <w:szCs w:val="21"/>
          <w:highlight w:val="none"/>
        </w:rPr>
        <w:t>价</w:t>
      </w:r>
      <w:r>
        <w:rPr>
          <w:rFonts w:ascii="宋体" w:hAnsi="宋体"/>
          <w:color w:val="auto"/>
          <w:spacing w:val="-3"/>
          <w:sz w:val="21"/>
          <w:szCs w:val="21"/>
          <w:highlight w:val="none"/>
        </w:rPr>
        <w:t>格</w:t>
      </w:r>
      <w:r>
        <w:rPr>
          <w:rFonts w:ascii="宋体" w:hAnsi="宋体"/>
          <w:color w:val="auto"/>
          <w:sz w:val="21"/>
          <w:szCs w:val="21"/>
          <w:highlight w:val="none"/>
        </w:rPr>
        <w:t>调整</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处</w:t>
      </w:r>
      <w:r>
        <w:rPr>
          <w:rFonts w:ascii="宋体" w:hAnsi="宋体"/>
          <w:color w:val="auto"/>
          <w:spacing w:val="-3"/>
          <w:sz w:val="21"/>
          <w:szCs w:val="21"/>
          <w:highlight w:val="none"/>
        </w:rPr>
        <w:t>理</w:t>
      </w:r>
      <w:r>
        <w:rPr>
          <w:rFonts w:ascii="宋体" w:hAnsi="宋体"/>
          <w:color w:val="auto"/>
          <w:sz w:val="21"/>
          <w:szCs w:val="21"/>
          <w:highlight w:val="none"/>
        </w:rPr>
        <w:t>方</w:t>
      </w:r>
      <w:r>
        <w:rPr>
          <w:rFonts w:ascii="宋体" w:hAnsi="宋体"/>
          <w:color w:val="auto"/>
          <w:spacing w:val="-3"/>
          <w:sz w:val="21"/>
          <w:szCs w:val="21"/>
          <w:highlight w:val="none"/>
        </w:rPr>
        <w:t>式</w:t>
      </w:r>
      <w:r>
        <w:rPr>
          <w:rFonts w:ascii="宋体" w:hAnsi="宋体"/>
          <w:color w:val="auto"/>
          <w:sz w:val="21"/>
          <w:szCs w:val="21"/>
          <w:highlight w:val="none"/>
        </w:rPr>
        <w:t>：</w:t>
      </w:r>
      <w:r>
        <w:rPr>
          <w:rFonts w:hint="eastAsia" w:ascii="宋体" w:hAnsi="宋体" w:cs="宋体"/>
          <w:color w:val="auto"/>
          <w:sz w:val="21"/>
          <w:szCs w:val="21"/>
          <w:highlight w:val="none"/>
          <w:u w:val="single"/>
        </w:rPr>
        <w:t>在合同文件中没有适用或类似于变更工作的价格。其组价原则为：</w:t>
      </w:r>
    </w:p>
    <w:p>
      <w:pPr>
        <w:spacing w:line="312" w:lineRule="auto"/>
        <w:ind w:firstLine="525" w:firstLineChars="25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(a)已标价的工程量清单中已有相应的人工、材料、机械消耗量的，按照已有的执行；如果没有，依据施工当地最新有效预算定额确定。</w:t>
      </w:r>
    </w:p>
    <w:p>
      <w:pPr>
        <w:spacing w:line="312" w:lineRule="auto"/>
        <w:ind w:firstLine="525" w:firstLineChars="250"/>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 xml:space="preserve">(b)已标价的工程量清单中已有相应的人工、材料和机械价格，按照已有的执行；如果没有，新增的的材料、机械价格按照项目发生当期的施工当地工程造价信息中的价格执行，如果当期《工程造价信息》没有相应材料、机械价格，则由承包人根据市场行情提出报价，发包人审批确定。人工单价按照已标价的工程量清单相应专业的人工单价计取，已标价的工程量清单中没有对应的按《工程造价信息》中的低限执行。 </w:t>
      </w:r>
    </w:p>
    <w:p>
      <w:pPr>
        <w:tabs>
          <w:tab w:val="left" w:pos="1420"/>
          <w:tab w:val="left" w:pos="8453"/>
        </w:tabs>
        <w:adjustRightInd/>
        <w:spacing w:before="34" w:line="240" w:lineRule="auto"/>
        <w:ind w:left="578" w:firstLine="0" w:firstLineChars="0"/>
        <w:textAlignment w:val="auto"/>
        <w:rPr>
          <w:rFonts w:ascii="宋体" w:hAnsi="宋体"/>
          <w:color w:val="auto"/>
          <w:sz w:val="21"/>
          <w:szCs w:val="21"/>
          <w:highlight w:val="none"/>
        </w:rPr>
      </w:pPr>
      <w:r>
        <w:rPr>
          <w:rFonts w:hint="eastAsia" w:ascii="宋体" w:hAnsi="宋体" w:cs="宋体"/>
          <w:color w:val="auto"/>
          <w:sz w:val="21"/>
          <w:szCs w:val="21"/>
          <w:highlight w:val="none"/>
          <w:u w:val="single"/>
        </w:rPr>
        <w:t xml:space="preserve"> (c)综合单价中的各项取费标准按相应项目原投标费率确定。</w:t>
      </w:r>
    </w:p>
    <w:p>
      <w:pPr>
        <w:adjustRightInd/>
        <w:spacing w:line="200" w:lineRule="exact"/>
        <w:ind w:firstLine="0" w:firstLineChars="0"/>
        <w:textAlignment w:val="auto"/>
        <w:rPr>
          <w:rFonts w:ascii="Calibri" w:hAnsi="Calibri"/>
          <w:color w:val="auto"/>
          <w:sz w:val="20"/>
          <w:highlight w:val="none"/>
        </w:rPr>
      </w:pPr>
    </w:p>
    <w:p>
      <w:pPr>
        <w:adjustRightInd/>
        <w:spacing w:line="200" w:lineRule="exact"/>
        <w:ind w:firstLine="0" w:firstLineChars="0"/>
        <w:textAlignment w:val="auto"/>
        <w:rPr>
          <w:rFonts w:ascii="Calibri" w:hAnsi="Calibri"/>
          <w:color w:val="auto"/>
          <w:sz w:val="20"/>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09" w:name="_bookmark146"/>
      <w:bookmarkEnd w:id="809"/>
      <w:r>
        <w:rPr>
          <w:rFonts w:ascii="宋体" w:hAnsi="宋体" w:cs="宋体"/>
          <w:color w:val="auto"/>
          <w:szCs w:val="24"/>
          <w:highlight w:val="none"/>
        </w:rPr>
        <w:t>15.5</w:t>
      </w:r>
      <w:r>
        <w:rPr>
          <w:rFonts w:ascii="宋体" w:hAnsi="宋体" w:cs="宋体"/>
          <w:color w:val="auto"/>
          <w:szCs w:val="24"/>
          <w:highlight w:val="none"/>
        </w:rPr>
        <w:tab/>
      </w:r>
      <w:r>
        <w:rPr>
          <w:rFonts w:ascii="宋体" w:hAnsi="宋体" w:cs="宋体"/>
          <w:color w:val="auto"/>
          <w:szCs w:val="24"/>
          <w:highlight w:val="none"/>
        </w:rPr>
        <w:t>承包人的合理化建议</w:t>
      </w:r>
    </w:p>
    <w:p>
      <w:pPr>
        <w:adjustRightInd/>
        <w:spacing w:before="5" w:line="240" w:lineRule="exact"/>
        <w:ind w:firstLine="0" w:firstLineChars="0"/>
        <w:textAlignment w:val="auto"/>
        <w:rPr>
          <w:rFonts w:ascii="Calibri" w:hAnsi="Calibri"/>
          <w:color w:val="auto"/>
          <w:szCs w:val="24"/>
          <w:highlight w:val="none"/>
        </w:rPr>
      </w:pPr>
    </w:p>
    <w:p>
      <w:pPr>
        <w:tabs>
          <w:tab w:val="left" w:pos="1420"/>
          <w:tab w:val="left" w:pos="8453"/>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15.5.2</w:t>
      </w:r>
      <w:r>
        <w:rPr>
          <w:rFonts w:ascii="宋体" w:hAnsi="宋体" w:cs="宋体"/>
          <w:color w:val="auto"/>
          <w:sz w:val="21"/>
          <w:szCs w:val="21"/>
          <w:highlight w:val="none"/>
        </w:rPr>
        <w:tab/>
      </w:r>
      <w:r>
        <w:rPr>
          <w:rFonts w:ascii="宋体" w:hAnsi="宋体"/>
          <w:color w:val="auto"/>
          <w:spacing w:val="-3"/>
          <w:sz w:val="21"/>
          <w:szCs w:val="21"/>
          <w:highlight w:val="none"/>
        </w:rPr>
        <w:t>对</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出</w:t>
      </w:r>
      <w:r>
        <w:rPr>
          <w:rFonts w:ascii="宋体" w:hAnsi="宋体"/>
          <w:color w:val="auto"/>
          <w:spacing w:val="-3"/>
          <w:sz w:val="21"/>
          <w:szCs w:val="21"/>
          <w:highlight w:val="none"/>
        </w:rPr>
        <w:t>合</w:t>
      </w:r>
      <w:r>
        <w:rPr>
          <w:rFonts w:ascii="宋体" w:hAnsi="宋体"/>
          <w:color w:val="auto"/>
          <w:sz w:val="21"/>
          <w:szCs w:val="21"/>
          <w:highlight w:val="none"/>
        </w:rPr>
        <w:t>理化</w:t>
      </w:r>
      <w:r>
        <w:rPr>
          <w:rFonts w:ascii="宋体" w:hAnsi="宋体"/>
          <w:color w:val="auto"/>
          <w:spacing w:val="-3"/>
          <w:sz w:val="21"/>
          <w:szCs w:val="21"/>
          <w:highlight w:val="none"/>
        </w:rPr>
        <w:t>建</w:t>
      </w:r>
      <w:r>
        <w:rPr>
          <w:rFonts w:ascii="宋体" w:hAnsi="宋体"/>
          <w:color w:val="auto"/>
          <w:sz w:val="21"/>
          <w:szCs w:val="21"/>
          <w:highlight w:val="none"/>
        </w:rPr>
        <w:t>议</w:t>
      </w:r>
      <w:r>
        <w:rPr>
          <w:rFonts w:ascii="宋体" w:hAnsi="宋体"/>
          <w:color w:val="auto"/>
          <w:spacing w:val="-3"/>
          <w:sz w:val="21"/>
          <w:szCs w:val="21"/>
          <w:highlight w:val="none"/>
        </w:rPr>
        <w:t>的</w:t>
      </w:r>
      <w:r>
        <w:rPr>
          <w:rFonts w:ascii="宋体" w:hAnsi="宋体"/>
          <w:color w:val="auto"/>
          <w:sz w:val="21"/>
          <w:szCs w:val="21"/>
          <w:highlight w:val="none"/>
        </w:rPr>
        <w:t>奖</w:t>
      </w:r>
      <w:r>
        <w:rPr>
          <w:rFonts w:ascii="宋体" w:hAnsi="宋体"/>
          <w:color w:val="auto"/>
          <w:spacing w:val="-3"/>
          <w:sz w:val="21"/>
          <w:szCs w:val="21"/>
          <w:highlight w:val="none"/>
        </w:rPr>
        <w:t>励</w:t>
      </w:r>
      <w:r>
        <w:rPr>
          <w:rFonts w:ascii="宋体" w:hAnsi="宋体"/>
          <w:color w:val="auto"/>
          <w:sz w:val="21"/>
          <w:szCs w:val="21"/>
          <w:highlight w:val="none"/>
        </w:rPr>
        <w:t>方</w:t>
      </w:r>
      <w:r>
        <w:rPr>
          <w:rFonts w:ascii="宋体" w:hAnsi="宋体"/>
          <w:color w:val="auto"/>
          <w:spacing w:val="-3"/>
          <w:sz w:val="21"/>
          <w:szCs w:val="21"/>
          <w:highlight w:val="none"/>
        </w:rPr>
        <w:t>法</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line="200" w:lineRule="exact"/>
        <w:ind w:firstLine="0" w:firstLineChars="0"/>
        <w:textAlignment w:val="auto"/>
        <w:rPr>
          <w:rFonts w:ascii="Calibri" w:hAnsi="Calibri"/>
          <w:color w:val="auto"/>
          <w:sz w:val="20"/>
          <w:highlight w:val="none"/>
        </w:rPr>
      </w:pPr>
    </w:p>
    <w:p>
      <w:pPr>
        <w:adjustRightInd/>
        <w:spacing w:before="9"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10" w:name="_bookmark147"/>
      <w:bookmarkEnd w:id="810"/>
      <w:r>
        <w:rPr>
          <w:rFonts w:ascii="宋体" w:hAnsi="宋体" w:cs="宋体"/>
          <w:color w:val="auto"/>
          <w:szCs w:val="24"/>
          <w:highlight w:val="none"/>
        </w:rPr>
        <w:t>15.8</w:t>
      </w:r>
      <w:r>
        <w:rPr>
          <w:rFonts w:ascii="宋体" w:hAnsi="宋体" w:cs="宋体"/>
          <w:color w:val="auto"/>
          <w:szCs w:val="24"/>
          <w:highlight w:val="none"/>
        </w:rPr>
        <w:tab/>
      </w:r>
      <w:r>
        <w:rPr>
          <w:rFonts w:ascii="宋体" w:hAnsi="宋体" w:cs="宋体"/>
          <w:color w:val="auto"/>
          <w:szCs w:val="24"/>
          <w:highlight w:val="none"/>
        </w:rPr>
        <w:t>暂估价</w:t>
      </w:r>
    </w:p>
    <w:p>
      <w:pPr>
        <w:adjustRightInd/>
        <w:spacing w:before="5" w:line="240" w:lineRule="exact"/>
        <w:ind w:firstLine="0" w:firstLineChars="0"/>
        <w:textAlignment w:val="auto"/>
        <w:rPr>
          <w:rFonts w:ascii="Calibri" w:hAnsi="Calibri"/>
          <w:color w:val="auto"/>
          <w:szCs w:val="24"/>
          <w:highlight w:val="none"/>
        </w:rPr>
      </w:pPr>
    </w:p>
    <w:p>
      <w:pPr>
        <w:tabs>
          <w:tab w:val="left" w:pos="1427"/>
        </w:tabs>
        <w:adjustRightInd/>
        <w:spacing w:line="316" w:lineRule="auto"/>
        <w:ind w:left="158" w:right="163" w:firstLine="419" w:firstLineChars="0"/>
        <w:textAlignment w:val="auto"/>
        <w:rPr>
          <w:rFonts w:ascii="宋体" w:hAnsi="宋体"/>
          <w:color w:val="auto"/>
          <w:sz w:val="21"/>
          <w:szCs w:val="21"/>
          <w:highlight w:val="none"/>
        </w:rPr>
      </w:pPr>
      <w:r>
        <w:rPr>
          <w:rFonts w:ascii="宋体" w:hAnsi="宋体" w:cs="宋体"/>
          <w:color w:val="auto"/>
          <w:sz w:val="21"/>
          <w:szCs w:val="21"/>
          <w:highlight w:val="none"/>
        </w:rPr>
        <w:t>15.8.1</w:t>
      </w:r>
      <w:r>
        <w:rPr>
          <w:rFonts w:ascii="宋体" w:hAnsi="宋体" w:cs="宋体"/>
          <w:color w:val="auto"/>
          <w:sz w:val="21"/>
          <w:szCs w:val="21"/>
          <w:highlight w:val="none"/>
        </w:rPr>
        <w:tab/>
      </w:r>
      <w:r>
        <w:rPr>
          <w:rFonts w:ascii="宋体" w:hAnsi="宋体"/>
          <w:color w:val="auto"/>
          <w:spacing w:val="2"/>
          <w:sz w:val="21"/>
          <w:szCs w:val="21"/>
          <w:highlight w:val="none"/>
        </w:rPr>
        <w:t>按合同约定应</w:t>
      </w:r>
      <w:r>
        <w:rPr>
          <w:rFonts w:ascii="宋体" w:hAnsi="宋体"/>
          <w:color w:val="auto"/>
          <w:sz w:val="21"/>
          <w:szCs w:val="21"/>
          <w:highlight w:val="none"/>
        </w:rPr>
        <w:t>当</w:t>
      </w:r>
      <w:r>
        <w:rPr>
          <w:rFonts w:ascii="宋体" w:hAnsi="宋体"/>
          <w:color w:val="auto"/>
          <w:spacing w:val="2"/>
          <w:sz w:val="21"/>
          <w:szCs w:val="21"/>
          <w:highlight w:val="none"/>
        </w:rPr>
        <w:t>由发包人和承包人采用招标方式选择专项供应商或专业分</w:t>
      </w:r>
      <w:r>
        <w:rPr>
          <w:rFonts w:ascii="宋体" w:hAnsi="宋体"/>
          <w:color w:val="auto"/>
          <w:sz w:val="21"/>
          <w:szCs w:val="21"/>
          <w:highlight w:val="none"/>
        </w:rPr>
        <w:t>包 人的：</w:t>
      </w:r>
    </w:p>
    <w:p>
      <w:pPr>
        <w:tabs>
          <w:tab w:val="left" w:pos="8355"/>
          <w:tab w:val="left" w:pos="8453"/>
        </w:tabs>
        <w:adjustRightInd/>
        <w:spacing w:before="31" w:line="316" w:lineRule="auto"/>
        <w:ind w:left="582" w:right="172" w:hanging="5" w:firstLineChars="0"/>
        <w:textAlignment w:val="auto"/>
        <w:rPr>
          <w:rFonts w:ascii="宋体" w:hAnsi="宋体"/>
          <w:color w:val="auto"/>
          <w:sz w:val="21"/>
          <w:szCs w:val="21"/>
          <w:highlight w:val="none"/>
          <w:u w:val="single"/>
        </w:rPr>
      </w:pPr>
      <w:r>
        <w:rPr>
          <w:rFonts w:ascii="宋体" w:hAnsi="宋体"/>
          <w:color w:val="auto"/>
          <w:sz w:val="21"/>
          <w:szCs w:val="21"/>
          <w:highlight w:val="none"/>
        </w:rPr>
        <w:t>（</w:t>
      </w:r>
      <w:r>
        <w:rPr>
          <w:rFonts w:ascii="宋体" w:hAnsi="宋体" w:cs="宋体"/>
          <w:color w:val="auto"/>
          <w:sz w:val="21"/>
          <w:szCs w:val="21"/>
          <w:highlight w:val="none"/>
        </w:rPr>
        <w:t>4</w:t>
      </w:r>
      <w:r>
        <w:rPr>
          <w:rFonts w:ascii="宋体" w:hAnsi="宋体"/>
          <w:color w:val="auto"/>
          <w:spacing w:val="-3"/>
          <w:sz w:val="21"/>
          <w:szCs w:val="21"/>
          <w:highlight w:val="none"/>
        </w:rPr>
        <w:t>）</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报</w:t>
      </w:r>
      <w:r>
        <w:rPr>
          <w:rFonts w:ascii="宋体" w:hAnsi="宋体"/>
          <w:color w:val="auto"/>
          <w:sz w:val="21"/>
          <w:szCs w:val="21"/>
          <w:highlight w:val="none"/>
        </w:rPr>
        <w:t>送</w:t>
      </w:r>
      <w:r>
        <w:rPr>
          <w:rFonts w:ascii="宋体" w:hAnsi="宋体"/>
          <w:color w:val="auto"/>
          <w:spacing w:val="-3"/>
          <w:sz w:val="21"/>
          <w:szCs w:val="21"/>
          <w:highlight w:val="none"/>
        </w:rPr>
        <w:t>招</w:t>
      </w:r>
      <w:r>
        <w:rPr>
          <w:rFonts w:ascii="宋体" w:hAnsi="宋体"/>
          <w:color w:val="auto"/>
          <w:sz w:val="21"/>
          <w:szCs w:val="21"/>
          <w:highlight w:val="none"/>
        </w:rPr>
        <w:t>标</w:t>
      </w:r>
      <w:r>
        <w:rPr>
          <w:rFonts w:ascii="宋体" w:hAnsi="宋体"/>
          <w:color w:val="auto"/>
          <w:spacing w:val="-3"/>
          <w:sz w:val="21"/>
          <w:szCs w:val="21"/>
          <w:highlight w:val="none"/>
        </w:rPr>
        <w:t>计划</w:t>
      </w:r>
      <w:r>
        <w:rPr>
          <w:rFonts w:ascii="宋体" w:hAnsi="宋体"/>
          <w:color w:val="auto"/>
          <w:sz w:val="21"/>
          <w:szCs w:val="21"/>
          <w:highlight w:val="none"/>
        </w:rPr>
        <w:t>期限</w:t>
      </w:r>
      <w:r>
        <w:rPr>
          <w:rFonts w:ascii="宋体" w:hAnsi="宋体"/>
          <w:color w:val="auto"/>
          <w:spacing w:val="-3"/>
          <w:sz w:val="21"/>
          <w:szCs w:val="21"/>
          <w:highlight w:val="none"/>
        </w:rPr>
        <w:t>：</w:t>
      </w:r>
      <w:r>
        <w:rPr>
          <w:rFonts w:hint="eastAsia" w:ascii="宋体" w:hAnsi="宋体"/>
          <w:color w:val="auto"/>
          <w:sz w:val="21"/>
          <w:szCs w:val="21"/>
          <w:highlight w:val="none"/>
          <w:u w:val="single"/>
        </w:rPr>
        <w:t>提前至少7天</w:t>
      </w:r>
    </w:p>
    <w:p>
      <w:pPr>
        <w:tabs>
          <w:tab w:val="left" w:pos="8355"/>
          <w:tab w:val="left" w:pos="8453"/>
        </w:tabs>
        <w:adjustRightInd/>
        <w:spacing w:before="31" w:line="316" w:lineRule="auto"/>
        <w:ind w:left="582" w:right="172" w:hanging="5"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审</w:t>
      </w:r>
      <w:r>
        <w:rPr>
          <w:rFonts w:ascii="宋体" w:hAnsi="宋体"/>
          <w:color w:val="auto"/>
          <w:spacing w:val="-3"/>
          <w:sz w:val="21"/>
          <w:szCs w:val="21"/>
          <w:highlight w:val="none"/>
        </w:rPr>
        <w:t>批</w:t>
      </w:r>
      <w:r>
        <w:rPr>
          <w:rFonts w:ascii="宋体" w:hAnsi="宋体"/>
          <w:color w:val="auto"/>
          <w:sz w:val="21"/>
          <w:szCs w:val="21"/>
          <w:highlight w:val="none"/>
        </w:rPr>
        <w:t>招</w:t>
      </w:r>
      <w:r>
        <w:rPr>
          <w:rFonts w:ascii="宋体" w:hAnsi="宋体"/>
          <w:color w:val="auto"/>
          <w:spacing w:val="-3"/>
          <w:sz w:val="21"/>
          <w:szCs w:val="21"/>
          <w:highlight w:val="none"/>
        </w:rPr>
        <w:t>标</w:t>
      </w:r>
      <w:r>
        <w:rPr>
          <w:rFonts w:ascii="宋体" w:hAnsi="宋体"/>
          <w:color w:val="auto"/>
          <w:sz w:val="21"/>
          <w:szCs w:val="21"/>
          <w:highlight w:val="none"/>
        </w:rPr>
        <w:t>工</w:t>
      </w:r>
      <w:r>
        <w:rPr>
          <w:rFonts w:ascii="宋体" w:hAnsi="宋体"/>
          <w:color w:val="auto"/>
          <w:spacing w:val="-3"/>
          <w:sz w:val="21"/>
          <w:szCs w:val="21"/>
          <w:highlight w:val="none"/>
        </w:rPr>
        <w:t>作</w:t>
      </w:r>
      <w:r>
        <w:rPr>
          <w:rFonts w:ascii="宋体" w:hAnsi="宋体"/>
          <w:color w:val="auto"/>
          <w:sz w:val="21"/>
          <w:szCs w:val="21"/>
          <w:highlight w:val="none"/>
        </w:rPr>
        <w:t>计</w:t>
      </w:r>
      <w:r>
        <w:rPr>
          <w:rFonts w:ascii="宋体" w:hAnsi="宋体"/>
          <w:color w:val="auto"/>
          <w:spacing w:val="-3"/>
          <w:sz w:val="21"/>
          <w:szCs w:val="21"/>
          <w:highlight w:val="none"/>
        </w:rPr>
        <w:t>划</w:t>
      </w:r>
      <w:r>
        <w:rPr>
          <w:rFonts w:ascii="宋体" w:hAnsi="宋体"/>
          <w:color w:val="auto"/>
          <w:sz w:val="21"/>
          <w:szCs w:val="21"/>
          <w:highlight w:val="none"/>
        </w:rPr>
        <w:t>时限</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收到承包人报送的招标工作计划后7天内</w:t>
      </w:r>
      <w:r>
        <w:rPr>
          <w:rFonts w:ascii="宋体" w:hAnsi="宋体"/>
          <w:color w:val="auto"/>
          <w:sz w:val="21"/>
          <w:szCs w:val="21"/>
          <w:highlight w:val="none"/>
          <w:u w:val="single" w:color="000000"/>
        </w:rPr>
        <w:tab/>
      </w:r>
    </w:p>
    <w:p>
      <w:pPr>
        <w:tabs>
          <w:tab w:val="left" w:pos="8453"/>
        </w:tabs>
        <w:adjustRightInd/>
        <w:spacing w:before="31" w:line="318" w:lineRule="auto"/>
        <w:ind w:left="582" w:right="167" w:hanging="5" w:firstLineChars="0"/>
        <w:textAlignment w:val="auto"/>
        <w:rPr>
          <w:rFonts w:ascii="宋体" w:hAnsi="宋体"/>
          <w:color w:val="auto"/>
          <w:sz w:val="21"/>
          <w:szCs w:val="21"/>
          <w:highlight w:val="none"/>
          <w:u w:val="single" w:color="000000"/>
        </w:rPr>
      </w:pPr>
      <w:r>
        <w:rPr>
          <w:rFonts w:ascii="宋体" w:hAnsi="宋体"/>
          <w:color w:val="auto"/>
          <w:sz w:val="21"/>
          <w:szCs w:val="21"/>
          <w:highlight w:val="none"/>
        </w:rPr>
        <w:t>（</w:t>
      </w:r>
      <w:r>
        <w:rPr>
          <w:rFonts w:ascii="宋体" w:hAnsi="宋体" w:cs="宋体"/>
          <w:color w:val="auto"/>
          <w:sz w:val="21"/>
          <w:szCs w:val="21"/>
          <w:highlight w:val="none"/>
        </w:rPr>
        <w:t>5</w:t>
      </w:r>
      <w:r>
        <w:rPr>
          <w:rFonts w:ascii="宋体" w:hAnsi="宋体"/>
          <w:color w:val="auto"/>
          <w:spacing w:val="-3"/>
          <w:sz w:val="21"/>
          <w:szCs w:val="21"/>
          <w:highlight w:val="none"/>
        </w:rPr>
        <w:t>）</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报</w:t>
      </w:r>
      <w:r>
        <w:rPr>
          <w:rFonts w:ascii="宋体" w:hAnsi="宋体"/>
          <w:color w:val="auto"/>
          <w:sz w:val="21"/>
          <w:szCs w:val="21"/>
          <w:highlight w:val="none"/>
        </w:rPr>
        <w:t>送</w:t>
      </w:r>
      <w:r>
        <w:rPr>
          <w:rFonts w:ascii="宋体" w:hAnsi="宋体"/>
          <w:color w:val="auto"/>
          <w:spacing w:val="-3"/>
          <w:sz w:val="21"/>
          <w:szCs w:val="21"/>
          <w:highlight w:val="none"/>
        </w:rPr>
        <w:t>相</w:t>
      </w:r>
      <w:r>
        <w:rPr>
          <w:rFonts w:ascii="宋体" w:hAnsi="宋体"/>
          <w:color w:val="auto"/>
          <w:sz w:val="21"/>
          <w:szCs w:val="21"/>
          <w:highlight w:val="none"/>
        </w:rPr>
        <w:t>关</w:t>
      </w:r>
      <w:r>
        <w:rPr>
          <w:rFonts w:ascii="宋体" w:hAnsi="宋体"/>
          <w:color w:val="auto"/>
          <w:spacing w:val="-3"/>
          <w:sz w:val="21"/>
          <w:szCs w:val="21"/>
          <w:highlight w:val="none"/>
        </w:rPr>
        <w:t>文件</w:t>
      </w:r>
      <w:r>
        <w:rPr>
          <w:rFonts w:ascii="宋体" w:hAnsi="宋体"/>
          <w:color w:val="auto"/>
          <w:sz w:val="21"/>
          <w:szCs w:val="21"/>
          <w:highlight w:val="none"/>
        </w:rPr>
        <w:t>时限</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发出招标公告（或者资格预审公告或者投标邀请书）、资格预审文件和招标文件前至少 7天</w:t>
      </w:r>
    </w:p>
    <w:p>
      <w:pPr>
        <w:tabs>
          <w:tab w:val="left" w:pos="8453"/>
        </w:tabs>
        <w:adjustRightInd/>
        <w:spacing w:before="31" w:line="318" w:lineRule="auto"/>
        <w:ind w:left="582" w:right="167" w:hanging="5" w:firstLineChars="0"/>
        <w:textAlignment w:val="auto"/>
        <w:rPr>
          <w:rFonts w:ascii="宋体" w:hAnsi="宋体"/>
          <w:color w:val="auto"/>
          <w:sz w:val="21"/>
          <w:szCs w:val="21"/>
          <w:highlight w:val="none"/>
          <w:u w:val="single" w:color="000000"/>
        </w:rPr>
      </w:pPr>
      <w:r>
        <w:rPr>
          <w:rFonts w:ascii="宋体" w:hAnsi="宋体"/>
          <w:color w:val="auto"/>
          <w:sz w:val="21"/>
          <w:szCs w:val="21"/>
          <w:highlight w:val="none"/>
        </w:rPr>
        <w:t xml:space="preserve"> 发包</w:t>
      </w:r>
      <w:r>
        <w:rPr>
          <w:rFonts w:ascii="宋体" w:hAnsi="宋体"/>
          <w:color w:val="auto"/>
          <w:spacing w:val="-3"/>
          <w:sz w:val="21"/>
          <w:szCs w:val="21"/>
          <w:highlight w:val="none"/>
        </w:rPr>
        <w:t>人</w:t>
      </w:r>
      <w:r>
        <w:rPr>
          <w:rFonts w:ascii="宋体" w:hAnsi="宋体"/>
          <w:color w:val="auto"/>
          <w:sz w:val="21"/>
          <w:szCs w:val="21"/>
          <w:highlight w:val="none"/>
        </w:rPr>
        <w:t>审</w:t>
      </w:r>
      <w:r>
        <w:rPr>
          <w:rFonts w:ascii="宋体" w:hAnsi="宋体"/>
          <w:color w:val="auto"/>
          <w:spacing w:val="-3"/>
          <w:sz w:val="21"/>
          <w:szCs w:val="21"/>
          <w:highlight w:val="none"/>
        </w:rPr>
        <w:t>批</w:t>
      </w:r>
      <w:r>
        <w:rPr>
          <w:rFonts w:ascii="宋体" w:hAnsi="宋体"/>
          <w:color w:val="auto"/>
          <w:sz w:val="21"/>
          <w:szCs w:val="21"/>
          <w:highlight w:val="none"/>
        </w:rPr>
        <w:t>相</w:t>
      </w:r>
      <w:r>
        <w:rPr>
          <w:rFonts w:ascii="宋体" w:hAnsi="宋体"/>
          <w:color w:val="auto"/>
          <w:spacing w:val="-3"/>
          <w:sz w:val="21"/>
          <w:szCs w:val="21"/>
          <w:highlight w:val="none"/>
        </w:rPr>
        <w:t>关</w:t>
      </w:r>
      <w:r>
        <w:rPr>
          <w:rFonts w:ascii="宋体" w:hAnsi="宋体"/>
          <w:color w:val="auto"/>
          <w:sz w:val="21"/>
          <w:szCs w:val="21"/>
          <w:highlight w:val="none"/>
        </w:rPr>
        <w:t>文</w:t>
      </w:r>
      <w:r>
        <w:rPr>
          <w:rFonts w:ascii="宋体" w:hAnsi="宋体"/>
          <w:color w:val="auto"/>
          <w:spacing w:val="-3"/>
          <w:sz w:val="21"/>
          <w:szCs w:val="21"/>
          <w:highlight w:val="none"/>
        </w:rPr>
        <w:t>件</w:t>
      </w:r>
      <w:r>
        <w:rPr>
          <w:rFonts w:ascii="宋体" w:hAnsi="宋体"/>
          <w:color w:val="auto"/>
          <w:sz w:val="21"/>
          <w:szCs w:val="21"/>
          <w:highlight w:val="none"/>
        </w:rPr>
        <w:t>时</w:t>
      </w:r>
      <w:r>
        <w:rPr>
          <w:rFonts w:ascii="宋体" w:hAnsi="宋体"/>
          <w:color w:val="auto"/>
          <w:spacing w:val="-3"/>
          <w:sz w:val="21"/>
          <w:szCs w:val="21"/>
          <w:highlight w:val="none"/>
        </w:rPr>
        <w:t>限</w:t>
      </w:r>
      <w:r>
        <w:rPr>
          <w:rFonts w:ascii="宋体" w:hAnsi="宋体"/>
          <w:color w:val="auto"/>
          <w:sz w:val="21"/>
          <w:szCs w:val="21"/>
          <w:highlight w:val="none"/>
        </w:rPr>
        <w:t>：</w:t>
      </w:r>
      <w:r>
        <w:rPr>
          <w:rFonts w:hint="eastAsia" w:ascii="宋体" w:hAnsi="宋体"/>
          <w:color w:val="auto"/>
          <w:sz w:val="21"/>
          <w:szCs w:val="21"/>
          <w:highlight w:val="none"/>
          <w:u w:val="single" w:color="000000"/>
        </w:rPr>
        <w:t>收到承包人报送的相关文件后 7 天内</w:t>
      </w:r>
    </w:p>
    <w:p>
      <w:pPr>
        <w:adjustRightInd/>
        <w:ind w:left="480" w:leftChars="200" w:firstLine="0" w:firstLineChars="0"/>
        <w:textAlignment w:val="auto"/>
        <w:rPr>
          <w:rFonts w:ascii="宋体" w:hAnsi="Calibri"/>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10</w:t>
      </w:r>
      <w:r>
        <w:rPr>
          <w:rFonts w:hint="eastAsia" w:ascii="宋体" w:hAnsi="宋体"/>
          <w:color w:val="auto"/>
          <w:sz w:val="21"/>
          <w:szCs w:val="21"/>
          <w:highlight w:val="none"/>
        </w:rPr>
        <w:t>）承包人申报合同文件时限：</w:t>
      </w:r>
      <w:r>
        <w:rPr>
          <w:rFonts w:hint="eastAsia" w:ascii="宋体" w:hAnsi="宋体"/>
          <w:color w:val="auto"/>
          <w:sz w:val="21"/>
          <w:szCs w:val="21"/>
          <w:highlight w:val="none"/>
          <w:u w:val="single"/>
        </w:rPr>
        <w:t>订立合同前 7  天</w:t>
      </w:r>
    </w:p>
    <w:p>
      <w:pPr>
        <w:adjustRightInd/>
        <w:ind w:firstLine="420"/>
        <w:textAlignment w:val="auto"/>
        <w:rPr>
          <w:rFonts w:ascii="宋体" w:hAnsi="Calibri"/>
          <w:color w:val="auto"/>
          <w:sz w:val="22"/>
          <w:szCs w:val="21"/>
          <w:highlight w:val="none"/>
        </w:rPr>
      </w:pPr>
      <w:r>
        <w:rPr>
          <w:rFonts w:hint="eastAsia" w:ascii="宋体" w:hAnsi="宋体"/>
          <w:color w:val="auto"/>
          <w:sz w:val="21"/>
          <w:szCs w:val="21"/>
          <w:highlight w:val="none"/>
        </w:rPr>
        <w:t>发包人审批合同文件时限：</w:t>
      </w:r>
      <w:r>
        <w:rPr>
          <w:rFonts w:hint="eastAsia" w:ascii="宋体" w:hAnsi="宋体"/>
          <w:color w:val="auto"/>
          <w:sz w:val="21"/>
          <w:szCs w:val="21"/>
          <w:highlight w:val="none"/>
          <w:u w:val="single"/>
        </w:rPr>
        <w:t>收到相关文件后 7 天内</w:t>
      </w:r>
    </w:p>
    <w:p>
      <w:pPr>
        <w:adjustRightInd/>
        <w:ind w:firstLine="420"/>
        <w:textAlignment w:val="auto"/>
        <w:rPr>
          <w:rFonts w:ascii="宋体" w:hAnsi="Calibri"/>
          <w:color w:val="auto"/>
          <w:sz w:val="22"/>
          <w:szCs w:val="21"/>
          <w:highlight w:val="none"/>
        </w:rPr>
      </w:pPr>
      <w:r>
        <w:rPr>
          <w:rFonts w:hint="eastAsia" w:ascii="宋体" w:hAnsi="宋体"/>
          <w:color w:val="auto"/>
          <w:sz w:val="21"/>
          <w:szCs w:val="21"/>
          <w:highlight w:val="none"/>
        </w:rPr>
        <w:t>承包人报送正式签订合同副本时限：</w:t>
      </w:r>
      <w:r>
        <w:rPr>
          <w:rFonts w:hint="eastAsia" w:ascii="宋体" w:hAnsi="宋体"/>
          <w:color w:val="auto"/>
          <w:sz w:val="21"/>
          <w:szCs w:val="21"/>
          <w:highlight w:val="none"/>
          <w:u w:val="single"/>
        </w:rPr>
        <w:t>合同订立后7天内</w:t>
      </w:r>
    </w:p>
    <w:p>
      <w:pPr>
        <w:tabs>
          <w:tab w:val="left" w:pos="8453"/>
        </w:tabs>
        <w:adjustRightInd/>
        <w:spacing w:before="31" w:line="318" w:lineRule="auto"/>
        <w:ind w:left="582" w:right="167" w:hanging="5" w:firstLineChars="0"/>
        <w:textAlignment w:val="auto"/>
        <w:rPr>
          <w:rFonts w:ascii="宋体" w:hAnsi="宋体"/>
          <w:color w:val="auto"/>
          <w:sz w:val="21"/>
          <w:szCs w:val="21"/>
          <w:highlight w:val="none"/>
        </w:rPr>
      </w:pPr>
    </w:p>
    <w:p>
      <w:pPr>
        <w:adjustRightInd/>
        <w:ind w:firstLine="420"/>
        <w:textAlignment w:val="auto"/>
        <w:rPr>
          <w:rFonts w:ascii="宋体" w:hAnsi="宋体"/>
          <w:color w:val="auto"/>
          <w:sz w:val="21"/>
          <w:szCs w:val="21"/>
          <w:highlight w:val="none"/>
          <w:u w:val="single"/>
        </w:rPr>
      </w:pPr>
      <w:r>
        <w:rPr>
          <w:rFonts w:ascii="宋体" w:hAnsi="宋体"/>
          <w:color w:val="auto"/>
          <w:sz w:val="21"/>
          <w:szCs w:val="21"/>
          <w:highlight w:val="none"/>
        </w:rPr>
        <w:t xml:space="preserve">15.8.3  </w:t>
      </w:r>
      <w:r>
        <w:rPr>
          <w:rFonts w:hint="eastAsia" w:ascii="宋体" w:hAnsi="宋体"/>
          <w:color w:val="auto"/>
          <w:sz w:val="21"/>
          <w:szCs w:val="21"/>
          <w:highlight w:val="none"/>
        </w:rPr>
        <w:t>发包人在工程量清单中给定暂估价的专业工程不属于依法必须招标的范围或者未达到依法必须招标的规模标准的，其最终价格的估价人为：</w:t>
      </w:r>
      <w:r>
        <w:rPr>
          <w:rFonts w:hint="eastAsia" w:ascii="宋体" w:hAnsi="宋体"/>
          <w:color w:val="auto"/>
          <w:sz w:val="21"/>
          <w:szCs w:val="21"/>
          <w:highlight w:val="none"/>
          <w:u w:val="single"/>
        </w:rPr>
        <w:t xml:space="preserve">发包人 </w:t>
      </w:r>
      <w:r>
        <w:rPr>
          <w:rFonts w:hint="eastAsia" w:ascii="宋体" w:hAnsi="宋体"/>
          <w:color w:val="auto"/>
          <w:sz w:val="21"/>
          <w:szCs w:val="21"/>
          <w:highlight w:val="none"/>
        </w:rPr>
        <w:t>或者按照下列约定：</w:t>
      </w:r>
      <w:r>
        <w:rPr>
          <w:rFonts w:hint="eastAsia" w:ascii="宋体" w:hAnsi="宋体"/>
          <w:color w:val="auto"/>
          <w:sz w:val="21"/>
          <w:szCs w:val="21"/>
          <w:highlight w:val="none"/>
          <w:u w:val="single"/>
        </w:rPr>
        <w:t>采用共同比选方式</w:t>
      </w:r>
    </w:p>
    <w:p>
      <w:pPr>
        <w:adjustRightInd/>
        <w:spacing w:line="200" w:lineRule="exact"/>
        <w:ind w:firstLine="0" w:firstLineChars="0"/>
        <w:textAlignment w:val="auto"/>
        <w:rPr>
          <w:rFonts w:ascii="Calibri" w:hAnsi="Calibri"/>
          <w:color w:val="auto"/>
          <w:sz w:val="20"/>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11" w:name="_bookmark148"/>
      <w:bookmarkEnd w:id="811"/>
      <w:r>
        <w:rPr>
          <w:rFonts w:ascii="宋体" w:hAnsi="宋体" w:cs="宋体"/>
          <w:color w:val="auto"/>
          <w:sz w:val="28"/>
          <w:szCs w:val="28"/>
          <w:highlight w:val="none"/>
        </w:rPr>
        <w:t>1</w:t>
      </w:r>
      <w:r>
        <w:rPr>
          <w:rFonts w:ascii="宋体" w:hAnsi="宋体" w:cs="宋体"/>
          <w:color w:val="auto"/>
          <w:spacing w:val="-2"/>
          <w:sz w:val="28"/>
          <w:szCs w:val="28"/>
          <w:highlight w:val="none"/>
        </w:rPr>
        <w:t>6</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价</w:t>
      </w:r>
      <w:r>
        <w:rPr>
          <w:rFonts w:ascii="宋体" w:hAnsi="宋体" w:cs="宋体"/>
          <w:color w:val="auto"/>
          <w:sz w:val="28"/>
          <w:szCs w:val="28"/>
          <w:highlight w:val="none"/>
        </w:rPr>
        <w:t>格调整</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12" w:name="_bookmark149"/>
      <w:bookmarkEnd w:id="812"/>
      <w:r>
        <w:rPr>
          <w:rFonts w:ascii="宋体" w:hAnsi="宋体" w:cs="宋体"/>
          <w:color w:val="auto"/>
          <w:szCs w:val="24"/>
          <w:highlight w:val="none"/>
        </w:rPr>
        <w:t>16.1</w:t>
      </w:r>
      <w:r>
        <w:rPr>
          <w:rFonts w:ascii="宋体" w:hAnsi="宋体" w:cs="宋体"/>
          <w:color w:val="auto"/>
          <w:szCs w:val="24"/>
          <w:highlight w:val="none"/>
        </w:rPr>
        <w:tab/>
      </w:r>
      <w:r>
        <w:rPr>
          <w:rFonts w:ascii="宋体" w:hAnsi="宋体" w:cs="宋体"/>
          <w:color w:val="auto"/>
          <w:szCs w:val="24"/>
          <w:highlight w:val="none"/>
        </w:rPr>
        <w:t>物价波动引起的价格调整</w:t>
      </w:r>
    </w:p>
    <w:p>
      <w:pPr>
        <w:adjustRightInd/>
        <w:spacing w:before="5" w:line="240" w:lineRule="exact"/>
        <w:ind w:firstLine="0" w:firstLineChars="0"/>
        <w:textAlignment w:val="auto"/>
        <w:rPr>
          <w:rFonts w:ascii="Calibri" w:hAnsi="Calibri"/>
          <w:color w:val="auto"/>
          <w:szCs w:val="24"/>
          <w:highlight w:val="none"/>
        </w:rPr>
      </w:pPr>
    </w:p>
    <w:p>
      <w:pPr>
        <w:tabs>
          <w:tab w:val="left" w:pos="1420"/>
          <w:tab w:val="left" w:pos="8453"/>
        </w:tabs>
        <w:adjustRightInd/>
        <w:spacing w:line="316" w:lineRule="auto"/>
        <w:ind w:left="578" w:right="212" w:firstLine="0" w:firstLineChars="0"/>
        <w:textAlignment w:val="auto"/>
        <w:rPr>
          <w:rFonts w:ascii="宋体" w:hAnsi="宋体"/>
          <w:color w:val="auto"/>
          <w:sz w:val="21"/>
          <w:szCs w:val="21"/>
          <w:highlight w:val="none"/>
          <w:u w:val="single"/>
        </w:rPr>
      </w:pPr>
      <w:r>
        <w:rPr>
          <w:rFonts w:ascii="宋体" w:hAnsi="宋体"/>
          <w:color w:val="auto"/>
          <w:sz w:val="21"/>
          <w:szCs w:val="21"/>
          <w:highlight w:val="none"/>
        </w:rPr>
        <w:t>物价</w:t>
      </w:r>
      <w:r>
        <w:rPr>
          <w:rFonts w:ascii="宋体" w:hAnsi="宋体"/>
          <w:color w:val="auto"/>
          <w:spacing w:val="-3"/>
          <w:sz w:val="21"/>
          <w:szCs w:val="21"/>
          <w:highlight w:val="none"/>
        </w:rPr>
        <w:t>波</w:t>
      </w:r>
      <w:r>
        <w:rPr>
          <w:rFonts w:ascii="宋体" w:hAnsi="宋体"/>
          <w:color w:val="auto"/>
          <w:sz w:val="21"/>
          <w:szCs w:val="21"/>
          <w:highlight w:val="none"/>
        </w:rPr>
        <w:t>动</w:t>
      </w:r>
      <w:r>
        <w:rPr>
          <w:rFonts w:ascii="宋体" w:hAnsi="宋体"/>
          <w:color w:val="auto"/>
          <w:spacing w:val="-3"/>
          <w:sz w:val="21"/>
          <w:szCs w:val="21"/>
          <w:highlight w:val="none"/>
        </w:rPr>
        <w:t>引</w:t>
      </w:r>
      <w:r>
        <w:rPr>
          <w:rFonts w:ascii="宋体" w:hAnsi="宋体"/>
          <w:color w:val="auto"/>
          <w:sz w:val="21"/>
          <w:szCs w:val="21"/>
          <w:highlight w:val="none"/>
        </w:rPr>
        <w:t>起</w:t>
      </w:r>
      <w:r>
        <w:rPr>
          <w:rFonts w:ascii="宋体" w:hAnsi="宋体"/>
          <w:color w:val="auto"/>
          <w:spacing w:val="-3"/>
          <w:sz w:val="21"/>
          <w:szCs w:val="21"/>
          <w:highlight w:val="none"/>
        </w:rPr>
        <w:t>价</w:t>
      </w:r>
      <w:r>
        <w:rPr>
          <w:rFonts w:ascii="宋体" w:hAnsi="宋体"/>
          <w:color w:val="auto"/>
          <w:sz w:val="21"/>
          <w:szCs w:val="21"/>
          <w:highlight w:val="none"/>
        </w:rPr>
        <w:t>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3"/>
          <w:sz w:val="21"/>
          <w:szCs w:val="21"/>
          <w:highlight w:val="none"/>
        </w:rPr>
        <w:t>方</w:t>
      </w:r>
      <w:r>
        <w:rPr>
          <w:rFonts w:ascii="宋体" w:hAnsi="宋体"/>
          <w:color w:val="auto"/>
          <w:sz w:val="21"/>
          <w:szCs w:val="21"/>
          <w:highlight w:val="none"/>
        </w:rPr>
        <w:t>法：</w:t>
      </w:r>
      <w:r>
        <w:rPr>
          <w:rFonts w:hint="eastAsia" w:ascii="宋体" w:hAnsi="宋体"/>
          <w:color w:val="auto"/>
          <w:spacing w:val="-3"/>
          <w:sz w:val="21"/>
          <w:szCs w:val="21"/>
          <w:highlight w:val="none"/>
          <w:u w:val="single"/>
        </w:rPr>
        <w:t>不予调整</w:t>
      </w:r>
    </w:p>
    <w:p>
      <w:pPr>
        <w:tabs>
          <w:tab w:val="left" w:pos="1420"/>
          <w:tab w:val="left" w:pos="8453"/>
        </w:tabs>
        <w:adjustRightInd/>
        <w:spacing w:line="316" w:lineRule="auto"/>
        <w:ind w:left="578" w:right="212"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16.1.2</w:t>
      </w:r>
      <w:r>
        <w:rPr>
          <w:rFonts w:ascii="宋体" w:hAnsi="宋体" w:cs="宋体"/>
          <w:color w:val="auto"/>
          <w:sz w:val="21"/>
          <w:szCs w:val="21"/>
          <w:highlight w:val="none"/>
        </w:rPr>
        <w:tab/>
      </w:r>
      <w:r>
        <w:rPr>
          <w:rFonts w:ascii="宋体" w:hAnsi="宋体"/>
          <w:color w:val="auto"/>
          <w:spacing w:val="-3"/>
          <w:sz w:val="21"/>
          <w:szCs w:val="21"/>
          <w:highlight w:val="none"/>
        </w:rPr>
        <w:t>采</w:t>
      </w:r>
      <w:r>
        <w:rPr>
          <w:rFonts w:ascii="宋体" w:hAnsi="宋体"/>
          <w:color w:val="auto"/>
          <w:sz w:val="21"/>
          <w:szCs w:val="21"/>
          <w:highlight w:val="none"/>
        </w:rPr>
        <w:t>用</w:t>
      </w:r>
      <w:r>
        <w:rPr>
          <w:rFonts w:ascii="宋体" w:hAnsi="宋体"/>
          <w:color w:val="auto"/>
          <w:spacing w:val="-3"/>
          <w:sz w:val="21"/>
          <w:szCs w:val="21"/>
          <w:highlight w:val="none"/>
        </w:rPr>
        <w:t>造</w:t>
      </w:r>
      <w:r>
        <w:rPr>
          <w:rFonts w:ascii="宋体" w:hAnsi="宋体"/>
          <w:color w:val="auto"/>
          <w:sz w:val="21"/>
          <w:szCs w:val="21"/>
          <w:highlight w:val="none"/>
        </w:rPr>
        <w:t>价</w:t>
      </w:r>
      <w:r>
        <w:rPr>
          <w:rFonts w:ascii="宋体" w:hAnsi="宋体"/>
          <w:color w:val="auto"/>
          <w:spacing w:val="-3"/>
          <w:sz w:val="21"/>
          <w:szCs w:val="21"/>
          <w:highlight w:val="none"/>
        </w:rPr>
        <w:t>信</w:t>
      </w:r>
      <w:r>
        <w:rPr>
          <w:rFonts w:ascii="宋体" w:hAnsi="宋体"/>
          <w:color w:val="auto"/>
          <w:sz w:val="21"/>
          <w:szCs w:val="21"/>
          <w:highlight w:val="none"/>
        </w:rPr>
        <w:t>息</w:t>
      </w:r>
      <w:r>
        <w:rPr>
          <w:rFonts w:ascii="宋体" w:hAnsi="宋体"/>
          <w:color w:val="auto"/>
          <w:spacing w:val="-3"/>
          <w:sz w:val="21"/>
          <w:szCs w:val="21"/>
          <w:highlight w:val="none"/>
        </w:rPr>
        <w:t>调</w:t>
      </w:r>
      <w:r>
        <w:rPr>
          <w:rFonts w:ascii="宋体" w:hAnsi="宋体"/>
          <w:color w:val="auto"/>
          <w:sz w:val="21"/>
          <w:szCs w:val="21"/>
          <w:highlight w:val="none"/>
        </w:rPr>
        <w:t>整价</w:t>
      </w:r>
      <w:r>
        <w:rPr>
          <w:rFonts w:ascii="宋体" w:hAnsi="宋体"/>
          <w:color w:val="auto"/>
          <w:spacing w:val="-3"/>
          <w:sz w:val="21"/>
          <w:szCs w:val="21"/>
          <w:highlight w:val="none"/>
        </w:rPr>
        <w:t>格</w:t>
      </w:r>
      <w:r>
        <w:rPr>
          <w:rFonts w:ascii="宋体" w:hAnsi="宋体"/>
          <w:color w:val="auto"/>
          <w:sz w:val="21"/>
          <w:szCs w:val="21"/>
          <w:highlight w:val="none"/>
        </w:rPr>
        <w:t>差额</w:t>
      </w:r>
    </w:p>
    <w:p>
      <w:pPr>
        <w:tabs>
          <w:tab w:val="left" w:pos="1840"/>
          <w:tab w:val="left" w:pos="5203"/>
          <w:tab w:val="left" w:pos="8470"/>
        </w:tabs>
        <w:adjustRightInd/>
        <w:spacing w:before="31" w:line="317" w:lineRule="auto"/>
        <w:ind w:left="789" w:right="195"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w:t>
      </w:r>
      <w:r>
        <w:rPr>
          <w:rFonts w:ascii="宋体" w:hAnsi="宋体" w:cs="宋体"/>
          <w:color w:val="auto"/>
          <w:spacing w:val="-3"/>
          <w:sz w:val="21"/>
          <w:szCs w:val="21"/>
          <w:highlight w:val="none"/>
        </w:rPr>
        <w:t>2</w:t>
      </w:r>
      <w:r>
        <w:rPr>
          <w:rFonts w:ascii="宋体" w:hAnsi="宋体" w:cs="宋体"/>
          <w:color w:val="auto"/>
          <w:sz w:val="21"/>
          <w:szCs w:val="21"/>
          <w:highlight w:val="none"/>
        </w:rPr>
        <w:t>.1</w:t>
      </w:r>
      <w:r>
        <w:rPr>
          <w:rFonts w:ascii="宋体" w:hAnsi="宋体" w:cs="宋体"/>
          <w:color w:val="auto"/>
          <w:sz w:val="21"/>
          <w:szCs w:val="21"/>
          <w:highlight w:val="none"/>
        </w:rPr>
        <w:tab/>
      </w:r>
      <w:r>
        <w:rPr>
          <w:rFonts w:ascii="宋体" w:hAnsi="宋体"/>
          <w:color w:val="auto"/>
          <w:sz w:val="21"/>
          <w:szCs w:val="21"/>
          <w:highlight w:val="none"/>
        </w:rPr>
        <w:t>引</w:t>
      </w:r>
      <w:r>
        <w:rPr>
          <w:rFonts w:ascii="宋体" w:hAnsi="宋体"/>
          <w:color w:val="auto"/>
          <w:spacing w:val="-3"/>
          <w:sz w:val="21"/>
          <w:szCs w:val="21"/>
          <w:highlight w:val="none"/>
        </w:rPr>
        <w:t>起</w:t>
      </w:r>
      <w:r>
        <w:rPr>
          <w:rFonts w:ascii="宋体" w:hAnsi="宋体"/>
          <w:color w:val="auto"/>
          <w:sz w:val="21"/>
          <w:szCs w:val="21"/>
          <w:highlight w:val="none"/>
        </w:rPr>
        <w:t>价</w:t>
      </w:r>
      <w:r>
        <w:rPr>
          <w:rFonts w:ascii="宋体" w:hAnsi="宋体"/>
          <w:color w:val="auto"/>
          <w:spacing w:val="-3"/>
          <w:sz w:val="21"/>
          <w:szCs w:val="21"/>
          <w:highlight w:val="none"/>
        </w:rPr>
        <w:t>格</w:t>
      </w:r>
      <w:r>
        <w:rPr>
          <w:rFonts w:ascii="宋体" w:hAnsi="宋体"/>
          <w:color w:val="auto"/>
          <w:sz w:val="21"/>
          <w:szCs w:val="21"/>
          <w:highlight w:val="none"/>
        </w:rPr>
        <w:t>调</w:t>
      </w:r>
      <w:r>
        <w:rPr>
          <w:rFonts w:ascii="宋体" w:hAnsi="宋体"/>
          <w:color w:val="auto"/>
          <w:spacing w:val="-3"/>
          <w:sz w:val="21"/>
          <w:szCs w:val="21"/>
          <w:highlight w:val="none"/>
        </w:rPr>
        <w:t>整</w:t>
      </w:r>
      <w:r>
        <w:rPr>
          <w:rFonts w:ascii="宋体" w:hAnsi="宋体"/>
          <w:color w:val="auto"/>
          <w:sz w:val="21"/>
          <w:szCs w:val="21"/>
          <w:highlight w:val="none"/>
        </w:rPr>
        <w:t>的物</w:t>
      </w:r>
      <w:r>
        <w:rPr>
          <w:rFonts w:ascii="宋体" w:hAnsi="宋体"/>
          <w:color w:val="auto"/>
          <w:spacing w:val="-3"/>
          <w:sz w:val="21"/>
          <w:szCs w:val="21"/>
          <w:highlight w:val="none"/>
        </w:rPr>
        <w:t>价</w:t>
      </w:r>
      <w:r>
        <w:rPr>
          <w:rFonts w:ascii="宋体" w:hAnsi="宋体"/>
          <w:color w:val="auto"/>
          <w:sz w:val="21"/>
          <w:szCs w:val="21"/>
          <w:highlight w:val="none"/>
        </w:rPr>
        <w:t>波</w:t>
      </w:r>
      <w:r>
        <w:rPr>
          <w:rFonts w:ascii="宋体" w:hAnsi="宋体"/>
          <w:color w:val="auto"/>
          <w:spacing w:val="-3"/>
          <w:sz w:val="21"/>
          <w:szCs w:val="21"/>
          <w:highlight w:val="none"/>
        </w:rPr>
        <w:t>动</w:t>
      </w:r>
      <w:r>
        <w:rPr>
          <w:rFonts w:ascii="宋体" w:hAnsi="宋体"/>
          <w:color w:val="auto"/>
          <w:sz w:val="21"/>
          <w:szCs w:val="21"/>
          <w:highlight w:val="none"/>
        </w:rPr>
        <w:t>风</w:t>
      </w:r>
      <w:r>
        <w:rPr>
          <w:rFonts w:ascii="宋体" w:hAnsi="宋体"/>
          <w:color w:val="auto"/>
          <w:spacing w:val="-3"/>
          <w:sz w:val="21"/>
          <w:szCs w:val="21"/>
          <w:highlight w:val="none"/>
        </w:rPr>
        <w:t>险</w:t>
      </w:r>
      <w:r>
        <w:rPr>
          <w:rFonts w:ascii="宋体" w:hAnsi="宋体"/>
          <w:color w:val="auto"/>
          <w:sz w:val="21"/>
          <w:szCs w:val="21"/>
          <w:highlight w:val="none"/>
        </w:rPr>
        <w:t>范</w:t>
      </w:r>
      <w:r>
        <w:rPr>
          <w:rFonts w:ascii="宋体" w:hAnsi="宋体"/>
          <w:color w:val="auto"/>
          <w:spacing w:val="-3"/>
          <w:sz w:val="21"/>
          <w:szCs w:val="21"/>
          <w:highlight w:val="none"/>
        </w:rPr>
        <w:t>围</w:t>
      </w:r>
      <w:r>
        <w:rPr>
          <w:rFonts w:ascii="宋体" w:hAnsi="宋体"/>
          <w:color w:val="auto"/>
          <w:sz w:val="21"/>
          <w:szCs w:val="21"/>
          <w:highlight w:val="none"/>
        </w:rPr>
        <w:t>及</w:t>
      </w:r>
      <w:r>
        <w:rPr>
          <w:rFonts w:ascii="宋体" w:hAnsi="宋体"/>
          <w:color w:val="auto"/>
          <w:spacing w:val="-3"/>
          <w:sz w:val="21"/>
          <w:szCs w:val="21"/>
          <w:highlight w:val="none"/>
        </w:rPr>
        <w:t>幅</w:t>
      </w:r>
      <w:r>
        <w:rPr>
          <w:rFonts w:ascii="宋体" w:hAnsi="宋体"/>
          <w:color w:val="auto"/>
          <w:sz w:val="21"/>
          <w:szCs w:val="21"/>
          <w:highlight w:val="none"/>
        </w:rPr>
        <w:t>度</w:t>
      </w:r>
    </w:p>
    <w:p>
      <w:pPr>
        <w:adjustRightInd/>
        <w:spacing w:line="400" w:lineRule="exact"/>
        <w:ind w:firstLine="735" w:firstLineChars="350"/>
        <w:textAlignment w:val="auto"/>
        <w:rPr>
          <w:rFonts w:ascii="宋体" w:hAnsi="宋体"/>
          <w:color w:val="auto"/>
          <w:sz w:val="21"/>
          <w:szCs w:val="21"/>
          <w:highlight w:val="none"/>
          <w:u w:val="single"/>
        </w:rPr>
      </w:pPr>
      <w:r>
        <w:rPr>
          <w:rFonts w:ascii="Calibri" w:hAnsi="Calibri"/>
          <w:color w:val="auto"/>
          <w:sz w:val="21"/>
          <w:szCs w:val="21"/>
          <w:highlight w:val="none"/>
        </w:rPr>
        <w:t>引起</w:t>
      </w:r>
      <w:r>
        <w:rPr>
          <w:rFonts w:ascii="Calibri" w:hAnsi="Calibri"/>
          <w:color w:val="auto"/>
          <w:spacing w:val="-3"/>
          <w:sz w:val="21"/>
          <w:szCs w:val="21"/>
          <w:highlight w:val="none"/>
        </w:rPr>
        <w:t>价</w:t>
      </w:r>
      <w:r>
        <w:rPr>
          <w:rFonts w:ascii="Calibri" w:hAnsi="Calibri"/>
          <w:color w:val="auto"/>
          <w:sz w:val="21"/>
          <w:szCs w:val="21"/>
          <w:highlight w:val="none"/>
        </w:rPr>
        <w:t>格</w:t>
      </w:r>
      <w:r>
        <w:rPr>
          <w:rFonts w:ascii="Calibri" w:hAnsi="Calibri"/>
          <w:color w:val="auto"/>
          <w:spacing w:val="-3"/>
          <w:sz w:val="21"/>
          <w:szCs w:val="21"/>
          <w:highlight w:val="none"/>
        </w:rPr>
        <w:t>调</w:t>
      </w:r>
      <w:r>
        <w:rPr>
          <w:rFonts w:ascii="Calibri" w:hAnsi="Calibri"/>
          <w:color w:val="auto"/>
          <w:sz w:val="21"/>
          <w:szCs w:val="21"/>
          <w:highlight w:val="none"/>
        </w:rPr>
        <w:t>整</w:t>
      </w:r>
      <w:r>
        <w:rPr>
          <w:rFonts w:ascii="Calibri" w:hAnsi="Calibri"/>
          <w:color w:val="auto"/>
          <w:spacing w:val="-2"/>
          <w:sz w:val="21"/>
          <w:szCs w:val="21"/>
          <w:highlight w:val="none"/>
        </w:rPr>
        <w:t>的</w:t>
      </w:r>
      <w:r>
        <w:rPr>
          <w:rFonts w:ascii="Calibri" w:hAnsi="Calibri"/>
          <w:color w:val="auto"/>
          <w:sz w:val="21"/>
          <w:szCs w:val="21"/>
          <w:highlight w:val="none"/>
        </w:rPr>
        <w:t>物</w:t>
      </w:r>
      <w:r>
        <w:rPr>
          <w:rFonts w:ascii="Calibri" w:hAnsi="Calibri"/>
          <w:color w:val="auto"/>
          <w:spacing w:val="-3"/>
          <w:sz w:val="21"/>
          <w:szCs w:val="21"/>
          <w:highlight w:val="none"/>
        </w:rPr>
        <w:t>价</w:t>
      </w:r>
      <w:r>
        <w:rPr>
          <w:rFonts w:ascii="Calibri" w:hAnsi="Calibri"/>
          <w:color w:val="auto"/>
          <w:sz w:val="21"/>
          <w:szCs w:val="21"/>
          <w:highlight w:val="none"/>
        </w:rPr>
        <w:t>波</w:t>
      </w:r>
      <w:r>
        <w:rPr>
          <w:rFonts w:ascii="Calibri" w:hAnsi="Calibri"/>
          <w:color w:val="auto"/>
          <w:spacing w:val="-3"/>
          <w:sz w:val="21"/>
          <w:szCs w:val="21"/>
          <w:highlight w:val="none"/>
        </w:rPr>
        <w:t>动</w:t>
      </w:r>
      <w:r>
        <w:rPr>
          <w:rFonts w:ascii="Calibri" w:hAnsi="Calibri"/>
          <w:color w:val="auto"/>
          <w:sz w:val="21"/>
          <w:szCs w:val="21"/>
          <w:highlight w:val="none"/>
        </w:rPr>
        <w:t>风险</w:t>
      </w:r>
      <w:r>
        <w:rPr>
          <w:rFonts w:ascii="Calibri" w:hAnsi="Calibri"/>
          <w:color w:val="auto"/>
          <w:spacing w:val="-3"/>
          <w:sz w:val="21"/>
          <w:szCs w:val="21"/>
          <w:highlight w:val="none"/>
        </w:rPr>
        <w:t>范</w:t>
      </w:r>
      <w:r>
        <w:rPr>
          <w:rFonts w:ascii="Calibri" w:hAnsi="Calibri"/>
          <w:color w:val="auto"/>
          <w:spacing w:val="-1"/>
          <w:sz w:val="21"/>
          <w:szCs w:val="21"/>
          <w:highlight w:val="none"/>
        </w:rPr>
        <w:t>围</w:t>
      </w:r>
      <w:r>
        <w:rPr>
          <w:rFonts w:ascii="Calibri" w:hAnsi="Calibri"/>
          <w:color w:val="auto"/>
          <w:spacing w:val="-3"/>
          <w:sz w:val="21"/>
          <w:szCs w:val="21"/>
          <w:highlight w:val="none"/>
        </w:rPr>
        <w:t>：</w:t>
      </w:r>
      <w:r>
        <w:rPr>
          <w:rFonts w:hint="eastAsia" w:ascii="Calibri" w:hAnsi="Calibri"/>
          <w:color w:val="auto"/>
          <w:spacing w:val="-3"/>
          <w:sz w:val="21"/>
          <w:szCs w:val="21"/>
          <w:highlight w:val="none"/>
          <w:u w:val="single"/>
        </w:rPr>
        <w:t>/</w:t>
      </w:r>
    </w:p>
    <w:p>
      <w:pPr>
        <w:tabs>
          <w:tab w:val="left" w:pos="1840"/>
          <w:tab w:val="left" w:pos="5203"/>
          <w:tab w:val="left" w:pos="7845"/>
        </w:tabs>
        <w:adjustRightInd/>
        <w:spacing w:before="31" w:line="317" w:lineRule="auto"/>
        <w:ind w:left="789" w:right="195" w:firstLine="0" w:firstLineChars="0"/>
        <w:textAlignment w:val="auto"/>
        <w:rPr>
          <w:rFonts w:ascii="宋体" w:hAnsi="宋体" w:cs="宋体"/>
          <w:color w:val="auto"/>
          <w:sz w:val="21"/>
          <w:szCs w:val="21"/>
          <w:highlight w:val="none"/>
        </w:rPr>
      </w:pPr>
      <w:r>
        <w:rPr>
          <w:rFonts w:ascii="宋体" w:hAnsi="宋体"/>
          <w:color w:val="auto"/>
          <w:sz w:val="21"/>
          <w:szCs w:val="21"/>
          <w:highlight w:val="none"/>
        </w:rPr>
        <w:t xml:space="preserve"> 引起</w:t>
      </w:r>
      <w:r>
        <w:rPr>
          <w:rFonts w:ascii="宋体" w:hAnsi="宋体"/>
          <w:color w:val="auto"/>
          <w:spacing w:val="-3"/>
          <w:sz w:val="21"/>
          <w:szCs w:val="21"/>
          <w:highlight w:val="none"/>
        </w:rPr>
        <w:t>价</w:t>
      </w:r>
      <w:r>
        <w:rPr>
          <w:rFonts w:ascii="宋体" w:hAnsi="宋体"/>
          <w:color w:val="auto"/>
          <w:sz w:val="21"/>
          <w:szCs w:val="21"/>
          <w:highlight w:val="none"/>
        </w:rPr>
        <w:t>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2"/>
          <w:sz w:val="21"/>
          <w:szCs w:val="21"/>
          <w:highlight w:val="none"/>
        </w:rPr>
        <w:t>的</w:t>
      </w:r>
      <w:r>
        <w:rPr>
          <w:rFonts w:ascii="宋体" w:hAnsi="宋体"/>
          <w:color w:val="auto"/>
          <w:sz w:val="21"/>
          <w:szCs w:val="21"/>
          <w:highlight w:val="none"/>
        </w:rPr>
        <w:t>物</w:t>
      </w:r>
      <w:r>
        <w:rPr>
          <w:rFonts w:ascii="宋体" w:hAnsi="宋体"/>
          <w:color w:val="auto"/>
          <w:spacing w:val="-3"/>
          <w:sz w:val="21"/>
          <w:szCs w:val="21"/>
          <w:highlight w:val="none"/>
        </w:rPr>
        <w:t>价</w:t>
      </w:r>
      <w:r>
        <w:rPr>
          <w:rFonts w:ascii="宋体" w:hAnsi="宋体"/>
          <w:color w:val="auto"/>
          <w:sz w:val="21"/>
          <w:szCs w:val="21"/>
          <w:highlight w:val="none"/>
        </w:rPr>
        <w:t>波</w:t>
      </w:r>
      <w:r>
        <w:rPr>
          <w:rFonts w:ascii="宋体" w:hAnsi="宋体"/>
          <w:color w:val="auto"/>
          <w:spacing w:val="-3"/>
          <w:sz w:val="21"/>
          <w:szCs w:val="21"/>
          <w:highlight w:val="none"/>
        </w:rPr>
        <w:t>动</w:t>
      </w:r>
      <w:r>
        <w:rPr>
          <w:rFonts w:ascii="宋体" w:hAnsi="宋体"/>
          <w:color w:val="auto"/>
          <w:sz w:val="21"/>
          <w:szCs w:val="21"/>
          <w:highlight w:val="none"/>
        </w:rPr>
        <w:t>风险</w:t>
      </w:r>
      <w:r>
        <w:rPr>
          <w:rFonts w:ascii="宋体" w:hAnsi="宋体"/>
          <w:color w:val="auto"/>
          <w:spacing w:val="-3"/>
          <w:sz w:val="21"/>
          <w:szCs w:val="21"/>
          <w:highlight w:val="none"/>
        </w:rPr>
        <w:t>幅</w:t>
      </w:r>
      <w:r>
        <w:rPr>
          <w:rFonts w:ascii="宋体" w:hAnsi="宋体"/>
          <w:color w:val="auto"/>
          <w:sz w:val="21"/>
          <w:szCs w:val="21"/>
          <w:highlight w:val="none"/>
        </w:rPr>
        <w:t>度</w:t>
      </w:r>
      <w:r>
        <w:rPr>
          <w:rFonts w:ascii="宋体" w:hAnsi="宋体"/>
          <w:color w:val="auto"/>
          <w:spacing w:val="-3"/>
          <w:sz w:val="21"/>
          <w:szCs w:val="21"/>
          <w:highlight w:val="none"/>
        </w:rPr>
        <w:t>：</w:t>
      </w:r>
      <w:r>
        <w:rPr>
          <w:rFonts w:hint="eastAsia" w:ascii="宋体" w:hAnsi="宋体"/>
          <w:color w:val="auto"/>
          <w:sz w:val="21"/>
          <w:szCs w:val="21"/>
          <w:highlight w:val="none"/>
          <w:u w:val="single"/>
        </w:rPr>
        <w:t>/</w:t>
      </w:r>
    </w:p>
    <w:p>
      <w:pPr>
        <w:tabs>
          <w:tab w:val="left" w:pos="1945"/>
        </w:tabs>
        <w:adjustRightInd/>
        <w:spacing w:before="31" w:line="240" w:lineRule="auto"/>
        <w:ind w:left="789"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w:t>
      </w:r>
      <w:r>
        <w:rPr>
          <w:rFonts w:ascii="宋体" w:hAnsi="宋体" w:cs="宋体"/>
          <w:color w:val="auto"/>
          <w:spacing w:val="-3"/>
          <w:sz w:val="21"/>
          <w:szCs w:val="21"/>
          <w:highlight w:val="none"/>
        </w:rPr>
        <w:t>2</w:t>
      </w:r>
      <w:r>
        <w:rPr>
          <w:rFonts w:ascii="宋体" w:hAnsi="宋体" w:cs="宋体"/>
          <w:color w:val="auto"/>
          <w:sz w:val="21"/>
          <w:szCs w:val="21"/>
          <w:highlight w:val="none"/>
        </w:rPr>
        <w:t>.2</w:t>
      </w:r>
      <w:r>
        <w:rPr>
          <w:rFonts w:ascii="宋体" w:hAnsi="宋体" w:cs="宋体"/>
          <w:color w:val="auto"/>
          <w:sz w:val="21"/>
          <w:szCs w:val="21"/>
          <w:highlight w:val="none"/>
        </w:rPr>
        <w:tab/>
      </w:r>
      <w:r>
        <w:rPr>
          <w:rFonts w:ascii="宋体" w:hAnsi="宋体"/>
          <w:color w:val="auto"/>
          <w:spacing w:val="-3"/>
          <w:sz w:val="21"/>
          <w:szCs w:val="21"/>
          <w:highlight w:val="none"/>
        </w:rPr>
        <w:t>物</w:t>
      </w:r>
      <w:r>
        <w:rPr>
          <w:rFonts w:ascii="宋体" w:hAnsi="宋体"/>
          <w:color w:val="auto"/>
          <w:sz w:val="21"/>
          <w:szCs w:val="21"/>
          <w:highlight w:val="none"/>
        </w:rPr>
        <w:t>价</w:t>
      </w:r>
      <w:r>
        <w:rPr>
          <w:rFonts w:ascii="宋体" w:hAnsi="宋体"/>
          <w:color w:val="auto"/>
          <w:spacing w:val="-3"/>
          <w:sz w:val="21"/>
          <w:szCs w:val="21"/>
          <w:highlight w:val="none"/>
        </w:rPr>
        <w:t>波</w:t>
      </w:r>
      <w:r>
        <w:rPr>
          <w:rFonts w:ascii="宋体" w:hAnsi="宋体"/>
          <w:color w:val="auto"/>
          <w:sz w:val="21"/>
          <w:szCs w:val="21"/>
          <w:highlight w:val="none"/>
        </w:rPr>
        <w:t>动</w:t>
      </w:r>
      <w:r>
        <w:rPr>
          <w:rFonts w:ascii="宋体" w:hAnsi="宋体"/>
          <w:color w:val="auto"/>
          <w:spacing w:val="-3"/>
          <w:sz w:val="21"/>
          <w:szCs w:val="21"/>
          <w:highlight w:val="none"/>
        </w:rPr>
        <w:t>引起</w:t>
      </w:r>
      <w:r>
        <w:rPr>
          <w:rFonts w:ascii="宋体" w:hAnsi="宋体"/>
          <w:color w:val="auto"/>
          <w:sz w:val="21"/>
          <w:szCs w:val="21"/>
          <w:highlight w:val="none"/>
        </w:rPr>
        <w:t>价格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3"/>
          <w:sz w:val="21"/>
          <w:szCs w:val="21"/>
          <w:highlight w:val="none"/>
        </w:rPr>
        <w:t>的</w:t>
      </w:r>
      <w:r>
        <w:rPr>
          <w:rFonts w:ascii="宋体" w:hAnsi="宋体"/>
          <w:color w:val="auto"/>
          <w:sz w:val="21"/>
          <w:szCs w:val="21"/>
          <w:highlight w:val="none"/>
        </w:rPr>
        <w:t>风</w:t>
      </w:r>
      <w:r>
        <w:rPr>
          <w:rFonts w:ascii="宋体" w:hAnsi="宋体"/>
          <w:color w:val="auto"/>
          <w:spacing w:val="-3"/>
          <w:sz w:val="21"/>
          <w:szCs w:val="21"/>
          <w:highlight w:val="none"/>
        </w:rPr>
        <w:t>险</w:t>
      </w:r>
      <w:r>
        <w:rPr>
          <w:rFonts w:ascii="宋体" w:hAnsi="宋体"/>
          <w:color w:val="auto"/>
          <w:sz w:val="21"/>
          <w:szCs w:val="21"/>
          <w:highlight w:val="none"/>
        </w:rPr>
        <w:t>幅</w:t>
      </w:r>
      <w:r>
        <w:rPr>
          <w:rFonts w:ascii="宋体" w:hAnsi="宋体"/>
          <w:color w:val="auto"/>
          <w:spacing w:val="-3"/>
          <w:sz w:val="21"/>
          <w:szCs w:val="21"/>
          <w:highlight w:val="none"/>
        </w:rPr>
        <w:t>度</w:t>
      </w:r>
      <w:r>
        <w:rPr>
          <w:rFonts w:ascii="宋体" w:hAnsi="宋体"/>
          <w:color w:val="auto"/>
          <w:sz w:val="21"/>
          <w:szCs w:val="21"/>
          <w:highlight w:val="none"/>
        </w:rPr>
        <w:t>的</w:t>
      </w:r>
      <w:r>
        <w:rPr>
          <w:rFonts w:ascii="宋体" w:hAnsi="宋体"/>
          <w:color w:val="auto"/>
          <w:spacing w:val="-3"/>
          <w:sz w:val="21"/>
          <w:szCs w:val="21"/>
          <w:highlight w:val="none"/>
        </w:rPr>
        <w:t>计</w:t>
      </w:r>
      <w:r>
        <w:rPr>
          <w:rFonts w:ascii="宋体" w:hAnsi="宋体"/>
          <w:color w:val="auto"/>
          <w:sz w:val="21"/>
          <w:szCs w:val="21"/>
          <w:highlight w:val="none"/>
        </w:rPr>
        <w:t>算方法</w:t>
      </w:r>
    </w:p>
    <w:p>
      <w:pPr>
        <w:tabs>
          <w:tab w:val="left" w:pos="3729"/>
          <w:tab w:val="left" w:pos="3945"/>
        </w:tabs>
        <w:adjustRightInd/>
        <w:spacing w:before="98"/>
        <w:ind w:left="789"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投</w:t>
      </w:r>
      <w:r>
        <w:rPr>
          <w:rFonts w:ascii="宋体" w:hAnsi="宋体"/>
          <w:color w:val="auto"/>
          <w:spacing w:val="-3"/>
          <w:sz w:val="21"/>
          <w:szCs w:val="21"/>
          <w:highlight w:val="none"/>
        </w:rPr>
        <w:t>标</w:t>
      </w:r>
      <w:r>
        <w:rPr>
          <w:rFonts w:ascii="宋体" w:hAnsi="宋体"/>
          <w:color w:val="auto"/>
          <w:sz w:val="21"/>
          <w:szCs w:val="21"/>
          <w:highlight w:val="none"/>
        </w:rPr>
        <w:t>报</w:t>
      </w:r>
      <w:r>
        <w:rPr>
          <w:rFonts w:ascii="宋体" w:hAnsi="宋体"/>
          <w:color w:val="auto"/>
          <w:spacing w:val="-3"/>
          <w:sz w:val="21"/>
          <w:szCs w:val="21"/>
          <w:highlight w:val="none"/>
        </w:rPr>
        <w:t>价</w:t>
      </w:r>
      <w:r>
        <w:rPr>
          <w:rFonts w:ascii="宋体" w:hAnsi="宋体"/>
          <w:color w:val="auto"/>
          <w:sz w:val="21"/>
          <w:szCs w:val="21"/>
          <w:highlight w:val="none"/>
        </w:rPr>
        <w:t>基</w:t>
      </w:r>
      <w:r>
        <w:rPr>
          <w:rFonts w:ascii="宋体" w:hAnsi="宋体"/>
          <w:color w:val="auto"/>
          <w:spacing w:val="-3"/>
          <w:sz w:val="21"/>
          <w:szCs w:val="21"/>
          <w:highlight w:val="none"/>
        </w:rPr>
        <w:t>准</w:t>
      </w:r>
      <w:r>
        <w:rPr>
          <w:rFonts w:ascii="宋体" w:hAnsi="宋体"/>
          <w:color w:val="auto"/>
          <w:sz w:val="21"/>
          <w:szCs w:val="21"/>
          <w:highlight w:val="none"/>
        </w:rPr>
        <w:t>期：</w:t>
      </w:r>
      <w:r>
        <w:rPr>
          <w:rFonts w:hint="eastAsia" w:ascii="宋体" w:hAnsi="宋体"/>
          <w:color w:val="auto"/>
          <w:sz w:val="21"/>
          <w:szCs w:val="21"/>
          <w:highlight w:val="none"/>
          <w:u w:val="single" w:color="000000"/>
        </w:rPr>
        <w:t>/</w:t>
      </w:r>
      <w:r>
        <w:rPr>
          <w:rFonts w:ascii="宋体" w:hAnsi="宋体"/>
          <w:color w:val="auto"/>
          <w:sz w:val="21"/>
          <w:szCs w:val="21"/>
          <w:highlight w:val="none"/>
        </w:rPr>
        <w:t>年</w:t>
      </w:r>
      <w:r>
        <w:rPr>
          <w:rFonts w:hint="eastAsia" w:ascii="宋体" w:hAnsi="宋体"/>
          <w:color w:val="auto"/>
          <w:sz w:val="21"/>
          <w:szCs w:val="21"/>
          <w:highlight w:val="none"/>
          <w:u w:val="single" w:color="000000"/>
        </w:rPr>
        <w:t>/</w:t>
      </w:r>
      <w:r>
        <w:rPr>
          <w:rFonts w:ascii="宋体" w:hAnsi="宋体"/>
          <w:color w:val="auto"/>
          <w:spacing w:val="-3"/>
          <w:sz w:val="21"/>
          <w:szCs w:val="21"/>
          <w:highlight w:val="none"/>
        </w:rPr>
        <w:t>月。</w:t>
      </w:r>
    </w:p>
    <w:p>
      <w:pPr>
        <w:tabs>
          <w:tab w:val="left" w:pos="8470"/>
        </w:tabs>
        <w:adjustRightInd/>
        <w:ind w:left="789"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106"/>
          <w:sz w:val="21"/>
          <w:szCs w:val="21"/>
          <w:highlight w:val="none"/>
        </w:rPr>
        <w:t>）</w:t>
      </w:r>
      <w:r>
        <w:rPr>
          <w:rFonts w:ascii="宋体" w:hAnsi="宋体"/>
          <w:color w:val="auto"/>
          <w:spacing w:val="-3"/>
          <w:sz w:val="21"/>
          <w:szCs w:val="21"/>
          <w:highlight w:val="none"/>
        </w:rPr>
        <w:t>《</w:t>
      </w:r>
      <w:r>
        <w:rPr>
          <w:rFonts w:ascii="宋体" w:hAnsi="宋体"/>
          <w:color w:val="auto"/>
          <w:sz w:val="21"/>
          <w:szCs w:val="21"/>
          <w:highlight w:val="none"/>
        </w:rPr>
        <w:t>北</w:t>
      </w:r>
      <w:r>
        <w:rPr>
          <w:rFonts w:ascii="宋体" w:hAnsi="宋体"/>
          <w:color w:val="auto"/>
          <w:spacing w:val="-3"/>
          <w:sz w:val="21"/>
          <w:szCs w:val="21"/>
          <w:highlight w:val="none"/>
        </w:rPr>
        <w:t>京</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造</w:t>
      </w:r>
      <w:r>
        <w:rPr>
          <w:rFonts w:ascii="宋体" w:hAnsi="宋体"/>
          <w:color w:val="auto"/>
          <w:spacing w:val="-3"/>
          <w:sz w:val="21"/>
          <w:szCs w:val="21"/>
          <w:highlight w:val="none"/>
        </w:rPr>
        <w:t>价</w:t>
      </w:r>
      <w:r>
        <w:rPr>
          <w:rFonts w:ascii="宋体" w:hAnsi="宋体"/>
          <w:color w:val="auto"/>
          <w:sz w:val="21"/>
          <w:szCs w:val="21"/>
          <w:highlight w:val="none"/>
        </w:rPr>
        <w:t>信</w:t>
      </w:r>
      <w:r>
        <w:rPr>
          <w:rFonts w:ascii="宋体" w:hAnsi="宋体"/>
          <w:color w:val="auto"/>
          <w:spacing w:val="-3"/>
          <w:sz w:val="21"/>
          <w:szCs w:val="21"/>
          <w:highlight w:val="none"/>
        </w:rPr>
        <w:t>息</w:t>
      </w:r>
      <w:r>
        <w:rPr>
          <w:rFonts w:ascii="宋体" w:hAnsi="宋体"/>
          <w:color w:val="auto"/>
          <w:sz w:val="21"/>
          <w:szCs w:val="21"/>
          <w:highlight w:val="none"/>
        </w:rPr>
        <w:t>》市</w:t>
      </w:r>
      <w:r>
        <w:rPr>
          <w:rFonts w:ascii="宋体" w:hAnsi="宋体"/>
          <w:color w:val="auto"/>
          <w:spacing w:val="-3"/>
          <w:sz w:val="21"/>
          <w:szCs w:val="21"/>
          <w:highlight w:val="none"/>
        </w:rPr>
        <w:t>场</w:t>
      </w:r>
      <w:r>
        <w:rPr>
          <w:rFonts w:ascii="宋体" w:hAnsi="宋体"/>
          <w:color w:val="auto"/>
          <w:sz w:val="21"/>
          <w:szCs w:val="21"/>
          <w:highlight w:val="none"/>
        </w:rPr>
        <w:t>价</w:t>
      </w:r>
      <w:r>
        <w:rPr>
          <w:rFonts w:ascii="宋体" w:hAnsi="宋体"/>
          <w:color w:val="auto"/>
          <w:spacing w:val="-3"/>
          <w:sz w:val="21"/>
          <w:szCs w:val="21"/>
          <w:highlight w:val="none"/>
        </w:rPr>
        <w:t>格</w:t>
      </w:r>
      <w:r>
        <w:rPr>
          <w:rFonts w:ascii="宋体" w:hAnsi="宋体"/>
          <w:color w:val="auto"/>
          <w:sz w:val="21"/>
          <w:szCs w:val="21"/>
          <w:highlight w:val="none"/>
        </w:rPr>
        <w:t>信</w:t>
      </w:r>
      <w:r>
        <w:rPr>
          <w:rFonts w:ascii="宋体" w:hAnsi="宋体"/>
          <w:color w:val="auto"/>
          <w:spacing w:val="-3"/>
          <w:sz w:val="21"/>
          <w:szCs w:val="21"/>
          <w:highlight w:val="none"/>
        </w:rPr>
        <w:t>息</w:t>
      </w:r>
      <w:r>
        <w:rPr>
          <w:rFonts w:ascii="宋体" w:hAnsi="宋体"/>
          <w:color w:val="auto"/>
          <w:sz w:val="21"/>
          <w:szCs w:val="21"/>
          <w:highlight w:val="none"/>
        </w:rPr>
        <w:t>中</w:t>
      </w:r>
      <w:r>
        <w:rPr>
          <w:rFonts w:ascii="宋体" w:hAnsi="宋体"/>
          <w:color w:val="auto"/>
          <w:spacing w:val="-3"/>
          <w:sz w:val="21"/>
          <w:szCs w:val="21"/>
          <w:highlight w:val="none"/>
        </w:rPr>
        <w:t>没</w:t>
      </w:r>
      <w:r>
        <w:rPr>
          <w:rFonts w:ascii="宋体" w:hAnsi="宋体"/>
          <w:color w:val="auto"/>
          <w:sz w:val="21"/>
          <w:szCs w:val="21"/>
          <w:highlight w:val="none"/>
        </w:rPr>
        <w:t>有</w:t>
      </w:r>
      <w:r>
        <w:rPr>
          <w:rFonts w:ascii="宋体" w:hAnsi="宋体"/>
          <w:color w:val="auto"/>
          <w:spacing w:val="-3"/>
          <w:sz w:val="21"/>
          <w:szCs w:val="21"/>
          <w:highlight w:val="none"/>
        </w:rPr>
        <w:t>的</w:t>
      </w:r>
      <w:r>
        <w:rPr>
          <w:rFonts w:ascii="宋体" w:hAnsi="宋体"/>
          <w:color w:val="auto"/>
          <w:sz w:val="21"/>
          <w:szCs w:val="21"/>
          <w:highlight w:val="none"/>
        </w:rPr>
        <w:t>，基</w:t>
      </w:r>
      <w:r>
        <w:rPr>
          <w:rFonts w:ascii="宋体" w:hAnsi="宋体"/>
          <w:color w:val="auto"/>
          <w:spacing w:val="-3"/>
          <w:sz w:val="21"/>
          <w:szCs w:val="21"/>
          <w:highlight w:val="none"/>
        </w:rPr>
        <w:t>准</w:t>
      </w:r>
      <w:r>
        <w:rPr>
          <w:rFonts w:ascii="宋体" w:hAnsi="宋体"/>
          <w:color w:val="auto"/>
          <w:sz w:val="21"/>
          <w:szCs w:val="21"/>
          <w:highlight w:val="none"/>
        </w:rPr>
        <w:t>价</w:t>
      </w:r>
      <w:r>
        <w:rPr>
          <w:rFonts w:ascii="宋体" w:hAnsi="宋体"/>
          <w:color w:val="auto"/>
          <w:spacing w:val="-3"/>
          <w:sz w:val="21"/>
          <w:szCs w:val="21"/>
          <w:highlight w:val="none"/>
        </w:rPr>
        <w:t>的</w:t>
      </w:r>
      <w:r>
        <w:rPr>
          <w:rFonts w:ascii="宋体" w:hAnsi="宋体"/>
          <w:color w:val="auto"/>
          <w:sz w:val="21"/>
          <w:szCs w:val="21"/>
          <w:highlight w:val="none"/>
        </w:rPr>
        <w:t>确</w:t>
      </w:r>
      <w:r>
        <w:rPr>
          <w:rFonts w:ascii="宋体" w:hAnsi="宋体"/>
          <w:color w:val="auto"/>
          <w:spacing w:val="-3"/>
          <w:sz w:val="21"/>
          <w:szCs w:val="21"/>
          <w:highlight w:val="none"/>
        </w:rPr>
        <w:t>定</w:t>
      </w:r>
      <w:r>
        <w:rPr>
          <w:rFonts w:ascii="宋体" w:hAnsi="宋体"/>
          <w:color w:val="auto"/>
          <w:sz w:val="21"/>
          <w:szCs w:val="21"/>
          <w:highlight w:val="none"/>
        </w:rPr>
        <w:t>方</w:t>
      </w:r>
      <w:r>
        <w:rPr>
          <w:rFonts w:ascii="宋体" w:hAnsi="宋体"/>
          <w:color w:val="auto"/>
          <w:spacing w:val="-3"/>
          <w:sz w:val="21"/>
          <w:szCs w:val="21"/>
          <w:highlight w:val="none"/>
        </w:rPr>
        <w:t>法</w:t>
      </w:r>
      <w:r>
        <w:rPr>
          <w:rFonts w:ascii="宋体" w:hAnsi="宋体"/>
          <w:color w:val="auto"/>
          <w:sz w:val="21"/>
          <w:szCs w:val="21"/>
          <w:highlight w:val="none"/>
        </w:rPr>
        <w:t>：</w:t>
      </w:r>
      <w:r>
        <w:rPr>
          <w:rFonts w:hint="eastAsia" w:ascii="Calibri" w:hAnsi="宋体" w:cs="宋体"/>
          <w:color w:val="auto"/>
          <w:sz w:val="21"/>
          <w:szCs w:val="22"/>
          <w:highlight w:val="none"/>
          <w:u w:val="single"/>
        </w:rPr>
        <w:t>/</w:t>
      </w:r>
    </w:p>
    <w:p>
      <w:pPr>
        <w:widowControl/>
        <w:tabs>
          <w:tab w:val="left" w:pos="540"/>
        </w:tabs>
        <w:adjustRightInd/>
        <w:ind w:firstLine="840" w:firstLineChars="400"/>
        <w:textAlignment w:val="auto"/>
        <w:rPr>
          <w:rFonts w:ascii="宋体" w:hAnsi="宋体" w:cs="宋体"/>
          <w:color w:val="auto"/>
          <w:sz w:val="21"/>
          <w:szCs w:val="21"/>
          <w:highlight w:val="none"/>
          <w:u w:val="single"/>
        </w:rPr>
      </w:pPr>
      <w:r>
        <w:rPr>
          <w:rFonts w:ascii="宋体" w:hAnsi="宋体" w:cs="宋体"/>
          <w:color w:val="auto"/>
          <w:sz w:val="21"/>
          <w:szCs w:val="21"/>
          <w:highlight w:val="none"/>
        </w:rPr>
        <w:t>（3）</w:t>
      </w:r>
      <w:r>
        <w:rPr>
          <w:rFonts w:ascii="Calibri" w:hAnsi="Calibri"/>
          <w:color w:val="auto"/>
          <w:sz w:val="21"/>
          <w:szCs w:val="21"/>
          <w:highlight w:val="none"/>
        </w:rPr>
        <w:t>合</w:t>
      </w:r>
      <w:r>
        <w:rPr>
          <w:rFonts w:ascii="Calibri" w:hAnsi="Calibri"/>
          <w:color w:val="auto"/>
          <w:spacing w:val="-3"/>
          <w:sz w:val="21"/>
          <w:szCs w:val="21"/>
          <w:highlight w:val="none"/>
        </w:rPr>
        <w:t>同</w:t>
      </w:r>
      <w:r>
        <w:rPr>
          <w:rFonts w:ascii="Calibri" w:hAnsi="Calibri"/>
          <w:color w:val="auto"/>
          <w:sz w:val="21"/>
          <w:szCs w:val="21"/>
          <w:highlight w:val="none"/>
        </w:rPr>
        <w:t>施</w:t>
      </w:r>
      <w:r>
        <w:rPr>
          <w:rFonts w:ascii="Calibri" w:hAnsi="Calibri"/>
          <w:color w:val="auto"/>
          <w:spacing w:val="-3"/>
          <w:sz w:val="21"/>
          <w:szCs w:val="21"/>
          <w:highlight w:val="none"/>
        </w:rPr>
        <w:t>工</w:t>
      </w:r>
      <w:r>
        <w:rPr>
          <w:rFonts w:ascii="Calibri" w:hAnsi="Calibri"/>
          <w:color w:val="auto"/>
          <w:sz w:val="21"/>
          <w:szCs w:val="21"/>
          <w:highlight w:val="none"/>
        </w:rPr>
        <w:t>期</w:t>
      </w:r>
      <w:r>
        <w:rPr>
          <w:rFonts w:ascii="Calibri" w:hAnsi="Calibri"/>
          <w:color w:val="auto"/>
          <w:spacing w:val="-3"/>
          <w:sz w:val="21"/>
          <w:szCs w:val="21"/>
          <w:highlight w:val="none"/>
        </w:rPr>
        <w:t>市</w:t>
      </w:r>
      <w:r>
        <w:rPr>
          <w:rFonts w:ascii="Calibri" w:hAnsi="Calibri"/>
          <w:color w:val="auto"/>
          <w:sz w:val="21"/>
          <w:szCs w:val="21"/>
          <w:highlight w:val="none"/>
        </w:rPr>
        <w:t>场</w:t>
      </w:r>
      <w:r>
        <w:rPr>
          <w:rFonts w:ascii="Calibri" w:hAnsi="Calibri"/>
          <w:color w:val="auto"/>
          <w:spacing w:val="-3"/>
          <w:sz w:val="21"/>
          <w:szCs w:val="21"/>
          <w:highlight w:val="none"/>
        </w:rPr>
        <w:t>价格</w:t>
      </w:r>
      <w:r>
        <w:rPr>
          <w:rFonts w:ascii="Calibri" w:hAnsi="Calibri"/>
          <w:color w:val="auto"/>
          <w:sz w:val="21"/>
          <w:szCs w:val="21"/>
          <w:highlight w:val="none"/>
        </w:rPr>
        <w:t>的确</w:t>
      </w:r>
      <w:r>
        <w:rPr>
          <w:rFonts w:ascii="Calibri" w:hAnsi="Calibri"/>
          <w:color w:val="auto"/>
          <w:spacing w:val="-3"/>
          <w:sz w:val="21"/>
          <w:szCs w:val="21"/>
          <w:highlight w:val="none"/>
        </w:rPr>
        <w:t>定</w:t>
      </w:r>
      <w:r>
        <w:rPr>
          <w:rFonts w:ascii="Calibri" w:hAnsi="Calibri"/>
          <w:color w:val="auto"/>
          <w:sz w:val="21"/>
          <w:szCs w:val="21"/>
          <w:highlight w:val="none"/>
        </w:rPr>
        <w:t>方</w:t>
      </w:r>
      <w:r>
        <w:rPr>
          <w:rFonts w:ascii="Calibri" w:hAnsi="Calibri"/>
          <w:color w:val="auto"/>
          <w:spacing w:val="-3"/>
          <w:sz w:val="21"/>
          <w:szCs w:val="21"/>
          <w:highlight w:val="none"/>
        </w:rPr>
        <w:t>法</w:t>
      </w:r>
      <w:r>
        <w:rPr>
          <w:rFonts w:ascii="Calibri" w:hAnsi="Calibri"/>
          <w:color w:val="auto"/>
          <w:sz w:val="21"/>
          <w:szCs w:val="21"/>
          <w:highlight w:val="none"/>
        </w:rPr>
        <w:t>：</w:t>
      </w:r>
      <w:r>
        <w:rPr>
          <w:rFonts w:hint="eastAsia" w:ascii="宋体" w:hAnsi="宋体" w:cs="宋体"/>
          <w:bCs/>
          <w:color w:val="auto"/>
          <w:sz w:val="21"/>
          <w:szCs w:val="21"/>
          <w:highlight w:val="none"/>
          <w:u w:val="single"/>
        </w:rPr>
        <w:t>/</w:t>
      </w:r>
    </w:p>
    <w:p>
      <w:pPr>
        <w:tabs>
          <w:tab w:val="left" w:pos="1840"/>
          <w:tab w:val="left" w:pos="8453"/>
        </w:tabs>
        <w:adjustRightInd/>
        <w:spacing w:before="98" w:line="318" w:lineRule="auto"/>
        <w:ind w:left="789" w:right="212"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w:t>
      </w:r>
      <w:r>
        <w:rPr>
          <w:rFonts w:ascii="宋体" w:hAnsi="宋体" w:cs="宋体"/>
          <w:color w:val="auto"/>
          <w:spacing w:val="-3"/>
          <w:sz w:val="21"/>
          <w:szCs w:val="21"/>
          <w:highlight w:val="none"/>
        </w:rPr>
        <w:t>2</w:t>
      </w:r>
      <w:r>
        <w:rPr>
          <w:rFonts w:ascii="宋体" w:hAnsi="宋体" w:cs="宋体"/>
          <w:color w:val="auto"/>
          <w:sz w:val="21"/>
          <w:szCs w:val="21"/>
          <w:highlight w:val="none"/>
        </w:rPr>
        <w:t>.3</w:t>
      </w:r>
      <w:r>
        <w:rPr>
          <w:rFonts w:ascii="宋体" w:hAnsi="宋体" w:cs="宋体"/>
          <w:color w:val="auto"/>
          <w:sz w:val="21"/>
          <w:szCs w:val="21"/>
          <w:highlight w:val="none"/>
        </w:rPr>
        <w:tab/>
      </w:r>
      <w:r>
        <w:rPr>
          <w:rFonts w:ascii="宋体" w:hAnsi="宋体"/>
          <w:color w:val="auto"/>
          <w:sz w:val="21"/>
          <w:szCs w:val="21"/>
          <w:highlight w:val="none"/>
        </w:rPr>
        <w:t>物</w:t>
      </w:r>
      <w:r>
        <w:rPr>
          <w:rFonts w:ascii="宋体" w:hAnsi="宋体"/>
          <w:color w:val="auto"/>
          <w:spacing w:val="-3"/>
          <w:sz w:val="21"/>
          <w:szCs w:val="21"/>
          <w:highlight w:val="none"/>
        </w:rPr>
        <w:t>价</w:t>
      </w:r>
      <w:r>
        <w:rPr>
          <w:rFonts w:ascii="宋体" w:hAnsi="宋体"/>
          <w:color w:val="auto"/>
          <w:sz w:val="21"/>
          <w:szCs w:val="21"/>
          <w:highlight w:val="none"/>
        </w:rPr>
        <w:t>波</w:t>
      </w:r>
      <w:r>
        <w:rPr>
          <w:rFonts w:ascii="宋体" w:hAnsi="宋体"/>
          <w:color w:val="auto"/>
          <w:spacing w:val="-3"/>
          <w:sz w:val="21"/>
          <w:szCs w:val="21"/>
          <w:highlight w:val="none"/>
        </w:rPr>
        <w:t>动</w:t>
      </w:r>
      <w:r>
        <w:rPr>
          <w:rFonts w:ascii="宋体" w:hAnsi="宋体"/>
          <w:color w:val="auto"/>
          <w:sz w:val="21"/>
          <w:szCs w:val="21"/>
          <w:highlight w:val="none"/>
        </w:rPr>
        <w:t>引</w:t>
      </w:r>
      <w:r>
        <w:rPr>
          <w:rFonts w:ascii="宋体" w:hAnsi="宋体"/>
          <w:color w:val="auto"/>
          <w:spacing w:val="-3"/>
          <w:sz w:val="21"/>
          <w:szCs w:val="21"/>
          <w:highlight w:val="none"/>
        </w:rPr>
        <w:t>起</w:t>
      </w:r>
      <w:r>
        <w:rPr>
          <w:rFonts w:ascii="宋体" w:hAnsi="宋体"/>
          <w:color w:val="auto"/>
          <w:sz w:val="21"/>
          <w:szCs w:val="21"/>
          <w:highlight w:val="none"/>
        </w:rPr>
        <w:t>价格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3"/>
          <w:sz w:val="21"/>
          <w:szCs w:val="21"/>
          <w:highlight w:val="none"/>
        </w:rPr>
        <w:t>的</w:t>
      </w:r>
      <w:r>
        <w:rPr>
          <w:rFonts w:ascii="宋体" w:hAnsi="宋体"/>
          <w:color w:val="auto"/>
          <w:sz w:val="21"/>
          <w:szCs w:val="21"/>
          <w:highlight w:val="none"/>
        </w:rPr>
        <w:t>方法</w:t>
      </w:r>
    </w:p>
    <w:p>
      <w:pPr>
        <w:tabs>
          <w:tab w:val="left" w:pos="5323"/>
        </w:tabs>
        <w:adjustRightInd/>
        <w:spacing w:before="30" w:line="316" w:lineRule="auto"/>
        <w:ind w:left="158" w:right="190" w:firstLine="631"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pacing w:val="-3"/>
          <w:sz w:val="21"/>
          <w:szCs w:val="21"/>
          <w:highlight w:val="none"/>
        </w:rPr>
        <w:t>1</w:t>
      </w:r>
      <w:r>
        <w:rPr>
          <w:rFonts w:ascii="宋体" w:hAnsi="宋体"/>
          <w:color w:val="auto"/>
          <w:spacing w:val="-44"/>
          <w:sz w:val="21"/>
          <w:szCs w:val="21"/>
          <w:highlight w:val="none"/>
        </w:rPr>
        <w:t>）</w:t>
      </w:r>
      <w:r>
        <w:rPr>
          <w:rFonts w:ascii="宋体" w:hAnsi="宋体"/>
          <w:color w:val="auto"/>
          <w:spacing w:val="-3"/>
          <w:sz w:val="21"/>
          <w:szCs w:val="21"/>
          <w:highlight w:val="none"/>
        </w:rPr>
        <w:t>本</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单</w:t>
      </w:r>
      <w:r>
        <w:rPr>
          <w:rFonts w:ascii="宋体" w:hAnsi="宋体"/>
          <w:color w:val="auto"/>
          <w:spacing w:val="-3"/>
          <w:sz w:val="21"/>
          <w:szCs w:val="21"/>
          <w:highlight w:val="none"/>
        </w:rPr>
        <w:t>价</w:t>
      </w:r>
      <w:r>
        <w:rPr>
          <w:rFonts w:ascii="宋体" w:hAnsi="宋体"/>
          <w:color w:val="auto"/>
          <w:sz w:val="21"/>
          <w:szCs w:val="21"/>
          <w:highlight w:val="none"/>
        </w:rPr>
        <w:t>调</w:t>
      </w:r>
      <w:r>
        <w:rPr>
          <w:rFonts w:ascii="宋体" w:hAnsi="宋体"/>
          <w:color w:val="auto"/>
          <w:spacing w:val="-3"/>
          <w:sz w:val="21"/>
          <w:szCs w:val="21"/>
          <w:highlight w:val="none"/>
        </w:rPr>
        <w:t>整</w:t>
      </w:r>
      <w:r>
        <w:rPr>
          <w:rFonts w:ascii="宋体" w:hAnsi="宋体"/>
          <w:color w:val="auto"/>
          <w:sz w:val="21"/>
          <w:szCs w:val="21"/>
          <w:highlight w:val="none"/>
        </w:rPr>
        <w:t>方</w:t>
      </w:r>
      <w:r>
        <w:rPr>
          <w:rFonts w:ascii="宋体" w:hAnsi="宋体"/>
          <w:color w:val="auto"/>
          <w:spacing w:val="-3"/>
          <w:sz w:val="21"/>
          <w:szCs w:val="21"/>
          <w:highlight w:val="none"/>
        </w:rPr>
        <w:t>法</w:t>
      </w:r>
      <w:r>
        <w:rPr>
          <w:rFonts w:ascii="宋体" w:hAnsi="宋体"/>
          <w:color w:val="auto"/>
          <w:sz w:val="21"/>
          <w:szCs w:val="21"/>
          <w:highlight w:val="none"/>
        </w:rPr>
        <w:t>采用</w:t>
      </w:r>
      <w:r>
        <w:rPr>
          <w:rFonts w:hint="eastAsia" w:ascii="宋体" w:hAnsi="宋体"/>
          <w:color w:val="auto"/>
          <w:sz w:val="21"/>
          <w:szCs w:val="21"/>
          <w:highlight w:val="none"/>
          <w:u w:val="single" w:color="000000"/>
        </w:rPr>
        <w:t>/</w:t>
      </w:r>
      <w:r>
        <w:rPr>
          <w:rFonts w:ascii="宋体" w:hAnsi="宋体"/>
          <w:color w:val="auto"/>
          <w:spacing w:val="-3"/>
          <w:sz w:val="21"/>
          <w:szCs w:val="21"/>
          <w:highlight w:val="none"/>
          <w:u w:val="single" w:color="000000"/>
        </w:rPr>
        <w:t>（</w:t>
      </w:r>
      <w:r>
        <w:rPr>
          <w:rFonts w:ascii="宋体" w:hAnsi="宋体"/>
          <w:color w:val="auto"/>
          <w:sz w:val="21"/>
          <w:szCs w:val="21"/>
          <w:highlight w:val="none"/>
        </w:rPr>
        <w:t>加权</w:t>
      </w:r>
      <w:r>
        <w:rPr>
          <w:rFonts w:ascii="宋体" w:hAnsi="宋体"/>
          <w:color w:val="auto"/>
          <w:spacing w:val="-3"/>
          <w:sz w:val="21"/>
          <w:szCs w:val="21"/>
          <w:highlight w:val="none"/>
        </w:rPr>
        <w:t>平</w:t>
      </w:r>
      <w:r>
        <w:rPr>
          <w:rFonts w:ascii="宋体" w:hAnsi="宋体"/>
          <w:color w:val="auto"/>
          <w:sz w:val="21"/>
          <w:szCs w:val="21"/>
          <w:highlight w:val="none"/>
        </w:rPr>
        <w:t>均</w:t>
      </w:r>
      <w:r>
        <w:rPr>
          <w:rFonts w:ascii="宋体" w:hAnsi="宋体"/>
          <w:color w:val="auto"/>
          <w:spacing w:val="-3"/>
          <w:sz w:val="21"/>
          <w:szCs w:val="21"/>
          <w:highlight w:val="none"/>
        </w:rPr>
        <w:t>法</w:t>
      </w:r>
      <w:r>
        <w:rPr>
          <w:rFonts w:ascii="宋体" w:hAnsi="宋体" w:cs="宋体"/>
          <w:color w:val="auto"/>
          <w:sz w:val="21"/>
          <w:szCs w:val="21"/>
          <w:highlight w:val="none"/>
        </w:rPr>
        <w:t>/</w:t>
      </w:r>
      <w:r>
        <w:rPr>
          <w:rFonts w:ascii="宋体" w:hAnsi="宋体"/>
          <w:color w:val="auto"/>
          <w:spacing w:val="-3"/>
          <w:sz w:val="21"/>
          <w:szCs w:val="21"/>
          <w:highlight w:val="none"/>
        </w:rPr>
        <w:t>算</w:t>
      </w:r>
      <w:r>
        <w:rPr>
          <w:rFonts w:ascii="宋体" w:hAnsi="宋体"/>
          <w:color w:val="auto"/>
          <w:sz w:val="21"/>
          <w:szCs w:val="21"/>
          <w:highlight w:val="none"/>
        </w:rPr>
        <w:t>数</w:t>
      </w:r>
      <w:r>
        <w:rPr>
          <w:rFonts w:ascii="宋体" w:hAnsi="宋体"/>
          <w:color w:val="auto"/>
          <w:spacing w:val="-3"/>
          <w:sz w:val="21"/>
          <w:szCs w:val="21"/>
          <w:highlight w:val="none"/>
        </w:rPr>
        <w:t>平</w:t>
      </w:r>
      <w:r>
        <w:rPr>
          <w:rFonts w:ascii="宋体" w:hAnsi="宋体"/>
          <w:color w:val="auto"/>
          <w:sz w:val="21"/>
          <w:szCs w:val="21"/>
          <w:highlight w:val="none"/>
        </w:rPr>
        <w:t>均法</w:t>
      </w:r>
      <w:r>
        <w:rPr>
          <w:rFonts w:ascii="宋体" w:hAnsi="宋体" w:cs="宋体"/>
          <w:color w:val="auto"/>
          <w:spacing w:val="-3"/>
          <w:sz w:val="21"/>
          <w:szCs w:val="21"/>
          <w:highlight w:val="none"/>
        </w:rPr>
        <w:t>/</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计 算方</w:t>
      </w:r>
      <w:r>
        <w:rPr>
          <w:rFonts w:ascii="宋体" w:hAnsi="宋体"/>
          <w:color w:val="auto"/>
          <w:spacing w:val="-3"/>
          <w:sz w:val="21"/>
          <w:szCs w:val="21"/>
          <w:highlight w:val="none"/>
        </w:rPr>
        <w:t>法</w:t>
      </w:r>
      <w:r>
        <w:rPr>
          <w:rFonts w:ascii="宋体" w:hAnsi="宋体"/>
          <w:color w:val="auto"/>
          <w:spacing w:val="-106"/>
          <w:sz w:val="21"/>
          <w:szCs w:val="21"/>
          <w:highlight w:val="none"/>
        </w:rPr>
        <w:t>）</w:t>
      </w:r>
      <w:r>
        <w:rPr>
          <w:rFonts w:ascii="宋体" w:hAnsi="宋体"/>
          <w:color w:val="auto"/>
          <w:sz w:val="21"/>
          <w:szCs w:val="21"/>
          <w:highlight w:val="none"/>
        </w:rPr>
        <w:t>。</w:t>
      </w:r>
    </w:p>
    <w:p>
      <w:pPr>
        <w:tabs>
          <w:tab w:val="left" w:pos="8348"/>
        </w:tabs>
        <w:adjustRightInd/>
        <w:spacing w:before="31" w:line="317" w:lineRule="auto"/>
        <w:ind w:left="789" w:right="318"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采用</w:t>
      </w:r>
      <w:r>
        <w:rPr>
          <w:rFonts w:ascii="宋体" w:hAnsi="宋体"/>
          <w:color w:val="auto"/>
          <w:spacing w:val="-3"/>
          <w:sz w:val="21"/>
          <w:szCs w:val="21"/>
          <w:highlight w:val="none"/>
        </w:rPr>
        <w:t>加</w:t>
      </w:r>
      <w:r>
        <w:rPr>
          <w:rFonts w:ascii="宋体" w:hAnsi="宋体"/>
          <w:color w:val="auto"/>
          <w:sz w:val="21"/>
          <w:szCs w:val="21"/>
          <w:highlight w:val="none"/>
        </w:rPr>
        <w:t>权</w:t>
      </w:r>
      <w:r>
        <w:rPr>
          <w:rFonts w:ascii="宋体" w:hAnsi="宋体"/>
          <w:color w:val="auto"/>
          <w:spacing w:val="-3"/>
          <w:sz w:val="21"/>
          <w:szCs w:val="21"/>
          <w:highlight w:val="none"/>
        </w:rPr>
        <w:t>平</w:t>
      </w:r>
      <w:r>
        <w:rPr>
          <w:rFonts w:ascii="宋体" w:hAnsi="宋体"/>
          <w:color w:val="auto"/>
          <w:sz w:val="21"/>
          <w:szCs w:val="21"/>
          <w:highlight w:val="none"/>
        </w:rPr>
        <w:t>均</w:t>
      </w:r>
      <w:r>
        <w:rPr>
          <w:rFonts w:ascii="宋体" w:hAnsi="宋体"/>
          <w:color w:val="auto"/>
          <w:spacing w:val="-3"/>
          <w:sz w:val="21"/>
          <w:szCs w:val="21"/>
          <w:highlight w:val="none"/>
        </w:rPr>
        <w:t>法</w:t>
      </w:r>
      <w:r>
        <w:rPr>
          <w:rFonts w:ascii="宋体" w:hAnsi="宋体"/>
          <w:color w:val="auto"/>
          <w:sz w:val="21"/>
          <w:szCs w:val="21"/>
          <w:highlight w:val="none"/>
          <w:u w:val="single" w:color="000000"/>
        </w:rPr>
        <w:t>：</w:t>
      </w:r>
      <w:r>
        <w:rPr>
          <w:rFonts w:hint="eastAsia" w:ascii="宋体" w:hAnsi="宋体"/>
          <w:color w:val="auto"/>
          <w:sz w:val="21"/>
          <w:szCs w:val="21"/>
          <w:highlight w:val="none"/>
          <w:u w:val="single" w:color="000000"/>
        </w:rPr>
        <w:t xml:space="preserve">/                                                        </w:t>
      </w:r>
    </w:p>
    <w:p>
      <w:pPr>
        <w:tabs>
          <w:tab w:val="left" w:pos="8348"/>
        </w:tabs>
        <w:adjustRightInd/>
        <w:spacing w:before="31" w:line="317" w:lineRule="auto"/>
        <w:ind w:left="789" w:right="318" w:firstLine="0" w:firstLineChars="0"/>
        <w:jc w:val="both"/>
        <w:textAlignment w:val="auto"/>
        <w:rPr>
          <w:rFonts w:ascii="宋体" w:hAnsi="宋体"/>
          <w:color w:val="auto"/>
          <w:sz w:val="21"/>
          <w:szCs w:val="21"/>
          <w:highlight w:val="none"/>
          <w:u w:val="single" w:color="000000"/>
        </w:rPr>
      </w:pPr>
      <w:r>
        <w:rPr>
          <w:rFonts w:ascii="宋体" w:hAnsi="宋体"/>
          <w:color w:val="auto"/>
          <w:sz w:val="21"/>
          <w:szCs w:val="21"/>
          <w:highlight w:val="none"/>
        </w:rPr>
        <w:t>采用</w:t>
      </w:r>
      <w:r>
        <w:rPr>
          <w:rFonts w:ascii="宋体" w:hAnsi="宋体"/>
          <w:color w:val="auto"/>
          <w:spacing w:val="-3"/>
          <w:sz w:val="21"/>
          <w:szCs w:val="21"/>
          <w:highlight w:val="none"/>
        </w:rPr>
        <w:t>算</w:t>
      </w:r>
      <w:r>
        <w:rPr>
          <w:rFonts w:ascii="宋体" w:hAnsi="宋体"/>
          <w:color w:val="auto"/>
          <w:sz w:val="21"/>
          <w:szCs w:val="21"/>
          <w:highlight w:val="none"/>
        </w:rPr>
        <w:t>数</w:t>
      </w:r>
      <w:r>
        <w:rPr>
          <w:rFonts w:ascii="宋体" w:hAnsi="宋体"/>
          <w:color w:val="auto"/>
          <w:spacing w:val="-3"/>
          <w:sz w:val="21"/>
          <w:szCs w:val="21"/>
          <w:highlight w:val="none"/>
        </w:rPr>
        <w:t>平</w:t>
      </w:r>
      <w:r>
        <w:rPr>
          <w:rFonts w:ascii="宋体" w:hAnsi="宋体"/>
          <w:color w:val="auto"/>
          <w:sz w:val="21"/>
          <w:szCs w:val="21"/>
          <w:highlight w:val="none"/>
        </w:rPr>
        <w:t>均</w:t>
      </w:r>
      <w:r>
        <w:rPr>
          <w:rFonts w:ascii="宋体" w:hAnsi="宋体"/>
          <w:color w:val="auto"/>
          <w:spacing w:val="-3"/>
          <w:sz w:val="21"/>
          <w:szCs w:val="21"/>
          <w:highlight w:val="none"/>
        </w:rPr>
        <w:t>法</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tabs>
          <w:tab w:val="left" w:pos="8348"/>
        </w:tabs>
        <w:adjustRightInd/>
        <w:spacing w:before="31" w:line="317" w:lineRule="auto"/>
        <w:ind w:left="789" w:right="318" w:firstLine="0" w:firstLineChars="0"/>
        <w:jc w:val="both"/>
        <w:textAlignment w:val="auto"/>
        <w:rPr>
          <w:rFonts w:ascii="宋体" w:hAnsi="宋体"/>
          <w:color w:val="auto"/>
          <w:sz w:val="21"/>
          <w:szCs w:val="21"/>
          <w:highlight w:val="none"/>
        </w:rPr>
      </w:pPr>
      <w:r>
        <w:rPr>
          <w:rFonts w:ascii="宋体" w:hAnsi="宋体"/>
          <w:color w:val="auto"/>
          <w:sz w:val="21"/>
          <w:szCs w:val="21"/>
          <w:highlight w:val="none"/>
        </w:rPr>
        <w:t>采用</w:t>
      </w:r>
      <w:r>
        <w:rPr>
          <w:rFonts w:ascii="宋体" w:hAnsi="宋体"/>
          <w:color w:val="auto"/>
          <w:spacing w:val="-3"/>
          <w:sz w:val="21"/>
          <w:szCs w:val="21"/>
          <w:highlight w:val="none"/>
        </w:rPr>
        <w:t>其</w:t>
      </w:r>
      <w:r>
        <w:rPr>
          <w:rFonts w:ascii="宋体" w:hAnsi="宋体"/>
          <w:color w:val="auto"/>
          <w:sz w:val="21"/>
          <w:szCs w:val="21"/>
          <w:highlight w:val="none"/>
        </w:rPr>
        <w:t>他</w:t>
      </w:r>
      <w:r>
        <w:rPr>
          <w:rFonts w:ascii="宋体" w:hAnsi="宋体"/>
          <w:color w:val="auto"/>
          <w:spacing w:val="-3"/>
          <w:sz w:val="21"/>
          <w:szCs w:val="21"/>
          <w:highlight w:val="none"/>
        </w:rPr>
        <w:t>计</w:t>
      </w:r>
      <w:r>
        <w:rPr>
          <w:rFonts w:ascii="宋体" w:hAnsi="宋体"/>
          <w:color w:val="auto"/>
          <w:sz w:val="21"/>
          <w:szCs w:val="21"/>
          <w:highlight w:val="none"/>
        </w:rPr>
        <w:t>算</w:t>
      </w:r>
      <w:r>
        <w:rPr>
          <w:rFonts w:ascii="宋体" w:hAnsi="宋体"/>
          <w:color w:val="auto"/>
          <w:spacing w:val="-3"/>
          <w:sz w:val="21"/>
          <w:szCs w:val="21"/>
          <w:highlight w:val="none"/>
        </w:rPr>
        <w:t>方</w:t>
      </w:r>
      <w:r>
        <w:rPr>
          <w:rFonts w:ascii="宋体" w:hAnsi="宋体"/>
          <w:color w:val="auto"/>
          <w:sz w:val="21"/>
          <w:szCs w:val="21"/>
          <w:highlight w:val="none"/>
        </w:rPr>
        <w:t>法</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tabs>
          <w:tab w:val="left" w:pos="1840"/>
          <w:tab w:val="left" w:pos="8348"/>
        </w:tabs>
        <w:adjustRightInd/>
        <w:spacing w:before="31" w:line="240" w:lineRule="auto"/>
        <w:ind w:left="789"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w:t>
      </w:r>
      <w:r>
        <w:rPr>
          <w:rFonts w:ascii="宋体" w:hAnsi="宋体" w:cs="宋体"/>
          <w:color w:val="auto"/>
          <w:spacing w:val="-3"/>
          <w:sz w:val="21"/>
          <w:szCs w:val="21"/>
          <w:highlight w:val="none"/>
        </w:rPr>
        <w:t>2</w:t>
      </w:r>
      <w:r>
        <w:rPr>
          <w:rFonts w:ascii="宋体" w:hAnsi="宋体" w:cs="宋体"/>
          <w:color w:val="auto"/>
          <w:sz w:val="21"/>
          <w:szCs w:val="21"/>
          <w:highlight w:val="none"/>
        </w:rPr>
        <w:t>.4</w:t>
      </w:r>
      <w:r>
        <w:rPr>
          <w:rFonts w:ascii="宋体" w:hAnsi="宋体" w:cs="宋体"/>
          <w:color w:val="auto"/>
          <w:sz w:val="21"/>
          <w:szCs w:val="21"/>
          <w:highlight w:val="none"/>
        </w:rPr>
        <w:tab/>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约</w:t>
      </w:r>
      <w:r>
        <w:rPr>
          <w:rFonts w:ascii="宋体" w:hAnsi="宋体"/>
          <w:color w:val="auto"/>
          <w:spacing w:val="-3"/>
          <w:sz w:val="21"/>
          <w:szCs w:val="21"/>
          <w:highlight w:val="none"/>
        </w:rPr>
        <w:t>定</w:t>
      </w:r>
      <w:r>
        <w:rPr>
          <w:rFonts w:ascii="宋体" w:hAnsi="宋体"/>
          <w:color w:val="auto"/>
          <w:sz w:val="21"/>
          <w:szCs w:val="21"/>
          <w:highlight w:val="none"/>
        </w:rPr>
        <w:t>：</w:t>
      </w:r>
      <w:r>
        <w:rPr>
          <w:rFonts w:ascii="宋体" w:hAnsi="宋体"/>
          <w:color w:val="auto"/>
          <w:sz w:val="21"/>
          <w:szCs w:val="21"/>
          <w:highlight w:val="none"/>
          <w:u w:val="single" w:color="000000"/>
        </w:rPr>
        <w:tab/>
      </w:r>
    </w:p>
    <w:p>
      <w:pPr>
        <w:tabs>
          <w:tab w:val="left" w:pos="1420"/>
        </w:tabs>
        <w:adjustRightInd/>
        <w:spacing w:before="98"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16.1.3</w:t>
      </w:r>
      <w:r>
        <w:rPr>
          <w:rFonts w:ascii="宋体" w:hAnsi="宋体" w:cs="宋体"/>
          <w:color w:val="auto"/>
          <w:sz w:val="21"/>
          <w:szCs w:val="21"/>
          <w:highlight w:val="none"/>
        </w:rPr>
        <w:tab/>
      </w:r>
      <w:r>
        <w:rPr>
          <w:rFonts w:ascii="宋体" w:hAnsi="宋体"/>
          <w:color w:val="auto"/>
          <w:spacing w:val="-3"/>
          <w:sz w:val="21"/>
          <w:szCs w:val="21"/>
          <w:highlight w:val="none"/>
        </w:rPr>
        <w:t>其</w:t>
      </w:r>
      <w:r>
        <w:rPr>
          <w:rFonts w:ascii="宋体" w:hAnsi="宋体"/>
          <w:color w:val="auto"/>
          <w:sz w:val="21"/>
          <w:szCs w:val="21"/>
          <w:highlight w:val="none"/>
        </w:rPr>
        <w:t>他</w:t>
      </w:r>
      <w:r>
        <w:rPr>
          <w:rFonts w:ascii="宋体" w:hAnsi="宋体"/>
          <w:color w:val="auto"/>
          <w:spacing w:val="-3"/>
          <w:sz w:val="21"/>
          <w:szCs w:val="21"/>
          <w:highlight w:val="none"/>
        </w:rPr>
        <w:t>价</w:t>
      </w:r>
      <w:r>
        <w:rPr>
          <w:rFonts w:ascii="宋体" w:hAnsi="宋体"/>
          <w:color w:val="auto"/>
          <w:sz w:val="21"/>
          <w:szCs w:val="21"/>
          <w:highlight w:val="none"/>
        </w:rPr>
        <w:t>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3"/>
          <w:sz w:val="21"/>
          <w:szCs w:val="21"/>
          <w:highlight w:val="none"/>
        </w:rPr>
        <w:t>方</w:t>
      </w:r>
      <w:r>
        <w:rPr>
          <w:rFonts w:ascii="宋体" w:hAnsi="宋体"/>
          <w:color w:val="auto"/>
          <w:sz w:val="21"/>
          <w:szCs w:val="21"/>
          <w:highlight w:val="none"/>
        </w:rPr>
        <w:t>法</w:t>
      </w:r>
      <w:r>
        <w:rPr>
          <w:rFonts w:hint="eastAsia" w:ascii="宋体" w:hAnsi="宋体"/>
          <w:color w:val="auto"/>
          <w:sz w:val="21"/>
          <w:szCs w:val="21"/>
          <w:highlight w:val="none"/>
        </w:rPr>
        <w:t>：/</w:t>
      </w:r>
    </w:p>
    <w:p>
      <w:pPr>
        <w:adjustRightInd/>
        <w:spacing w:line="200" w:lineRule="exact"/>
        <w:ind w:firstLine="0" w:firstLineChars="0"/>
        <w:textAlignment w:val="auto"/>
        <w:rPr>
          <w:rFonts w:ascii="Calibri" w:hAnsi="Calibri"/>
          <w:color w:val="auto"/>
          <w:sz w:val="20"/>
          <w:highlight w:val="none"/>
        </w:rPr>
      </w:pPr>
    </w:p>
    <w:p>
      <w:pPr>
        <w:adjustRightInd/>
        <w:spacing w:before="15" w:line="220" w:lineRule="exact"/>
        <w:ind w:firstLine="0" w:firstLineChars="0"/>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13" w:name="_bookmark150"/>
      <w:bookmarkEnd w:id="813"/>
      <w:r>
        <w:rPr>
          <w:rFonts w:ascii="宋体" w:hAnsi="宋体" w:cs="宋体"/>
          <w:color w:val="auto"/>
          <w:sz w:val="28"/>
          <w:szCs w:val="28"/>
          <w:highlight w:val="none"/>
        </w:rPr>
        <w:t>1</w:t>
      </w:r>
      <w:r>
        <w:rPr>
          <w:rFonts w:ascii="宋体" w:hAnsi="宋体" w:cs="宋体"/>
          <w:color w:val="auto"/>
          <w:spacing w:val="-2"/>
          <w:sz w:val="28"/>
          <w:szCs w:val="28"/>
          <w:highlight w:val="none"/>
        </w:rPr>
        <w:t>7</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计</w:t>
      </w:r>
      <w:r>
        <w:rPr>
          <w:rFonts w:ascii="宋体" w:hAnsi="宋体" w:cs="宋体"/>
          <w:color w:val="auto"/>
          <w:sz w:val="28"/>
          <w:szCs w:val="28"/>
          <w:highlight w:val="none"/>
        </w:rPr>
        <w:t>量与</w:t>
      </w:r>
      <w:r>
        <w:rPr>
          <w:rFonts w:ascii="宋体" w:hAnsi="宋体" w:cs="宋体"/>
          <w:color w:val="auto"/>
          <w:spacing w:val="-3"/>
          <w:sz w:val="28"/>
          <w:szCs w:val="28"/>
          <w:highlight w:val="none"/>
        </w:rPr>
        <w:t>支</w:t>
      </w:r>
      <w:r>
        <w:rPr>
          <w:rFonts w:ascii="宋体" w:hAnsi="宋体" w:cs="宋体"/>
          <w:color w:val="auto"/>
          <w:sz w:val="28"/>
          <w:szCs w:val="28"/>
          <w:highlight w:val="none"/>
        </w:rPr>
        <w:t>付</w:t>
      </w:r>
    </w:p>
    <w:p>
      <w:pPr>
        <w:adjustRightInd/>
        <w:spacing w:before="7" w:line="260" w:lineRule="exact"/>
        <w:ind w:firstLine="0" w:firstLineChars="0"/>
        <w:textAlignment w:val="auto"/>
        <w:rPr>
          <w:rFonts w:ascii="Calibri" w:hAnsi="Calibri"/>
          <w:color w:val="auto"/>
          <w:sz w:val="26"/>
          <w:szCs w:val="26"/>
          <w:highlight w:val="none"/>
        </w:rPr>
      </w:pPr>
    </w:p>
    <w:p>
      <w:pPr>
        <w:numPr>
          <w:ilvl w:val="1"/>
          <w:numId w:val="12"/>
        </w:numPr>
        <w:tabs>
          <w:tab w:val="left" w:pos="877"/>
        </w:tabs>
        <w:adjustRightInd/>
        <w:spacing w:line="240" w:lineRule="auto"/>
        <w:ind w:left="878" w:firstLineChars="0"/>
        <w:jc w:val="both"/>
        <w:textAlignment w:val="auto"/>
        <w:rPr>
          <w:rFonts w:ascii="宋体" w:hAnsi="宋体" w:cs="宋体"/>
          <w:color w:val="auto"/>
          <w:szCs w:val="24"/>
          <w:highlight w:val="none"/>
          <w:lang w:eastAsia="en-US"/>
        </w:rPr>
      </w:pPr>
      <w:bookmarkStart w:id="814" w:name="_bookmark151"/>
      <w:bookmarkEnd w:id="814"/>
      <w:r>
        <w:rPr>
          <w:rFonts w:ascii="宋体" w:hAnsi="宋体" w:cs="宋体"/>
          <w:color w:val="auto"/>
          <w:szCs w:val="24"/>
          <w:highlight w:val="none"/>
          <w:lang w:eastAsia="en-US"/>
        </w:rPr>
        <w:t>计量</w:t>
      </w:r>
    </w:p>
    <w:p>
      <w:pPr>
        <w:adjustRightInd/>
        <w:spacing w:before="3" w:line="240" w:lineRule="exact"/>
        <w:ind w:firstLine="0" w:firstLineChars="0"/>
        <w:textAlignment w:val="auto"/>
        <w:rPr>
          <w:rFonts w:ascii="Calibri" w:hAnsi="Calibri"/>
          <w:color w:val="auto"/>
          <w:szCs w:val="24"/>
          <w:highlight w:val="none"/>
          <w:lang w:eastAsia="en-US"/>
        </w:rPr>
      </w:pPr>
    </w:p>
    <w:p>
      <w:pPr>
        <w:tabs>
          <w:tab w:val="left" w:pos="1420"/>
        </w:tabs>
        <w:adjustRightInd/>
        <w:spacing w:line="240" w:lineRule="auto"/>
        <w:ind w:left="578"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17.1.3</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计</w:t>
      </w:r>
      <w:r>
        <w:rPr>
          <w:rFonts w:ascii="宋体" w:hAnsi="宋体"/>
          <w:color w:val="auto"/>
          <w:sz w:val="21"/>
          <w:szCs w:val="21"/>
          <w:highlight w:val="none"/>
          <w:lang w:eastAsia="en-US"/>
        </w:rPr>
        <w:t>量</w:t>
      </w:r>
      <w:r>
        <w:rPr>
          <w:rFonts w:ascii="宋体" w:hAnsi="宋体"/>
          <w:color w:val="auto"/>
          <w:spacing w:val="-3"/>
          <w:sz w:val="21"/>
          <w:szCs w:val="21"/>
          <w:highlight w:val="none"/>
          <w:lang w:eastAsia="en-US"/>
        </w:rPr>
        <w:t>周</w:t>
      </w:r>
      <w:r>
        <w:rPr>
          <w:rFonts w:ascii="宋体" w:hAnsi="宋体"/>
          <w:color w:val="auto"/>
          <w:sz w:val="21"/>
          <w:szCs w:val="21"/>
          <w:highlight w:val="none"/>
          <w:lang w:eastAsia="en-US"/>
        </w:rPr>
        <w:t>期</w:t>
      </w:r>
    </w:p>
    <w:p>
      <w:pPr>
        <w:adjustRightInd/>
        <w:ind w:firstLine="420"/>
        <w:textAlignment w:val="auto"/>
        <w:rPr>
          <w:rFonts w:ascii="宋体" w:hAnsi="Calibri"/>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）每月</w:t>
      </w:r>
      <w:r>
        <w:rPr>
          <w:rFonts w:hint="eastAsia" w:ascii="宋体" w:hAnsi="宋体"/>
          <w:color w:val="auto"/>
          <w:sz w:val="21"/>
          <w:szCs w:val="21"/>
          <w:highlight w:val="none"/>
          <w:u w:val="single"/>
        </w:rPr>
        <w:t>25</w:t>
      </w:r>
      <w:r>
        <w:rPr>
          <w:rFonts w:hint="eastAsia" w:ascii="宋体" w:hAnsi="宋体"/>
          <w:color w:val="auto"/>
          <w:sz w:val="21"/>
          <w:szCs w:val="21"/>
          <w:highlight w:val="none"/>
        </w:rPr>
        <w:t>日为当月计量截止日期（不含当日）和下月计量起始日期（含当日）。</w:t>
      </w:r>
    </w:p>
    <w:p>
      <w:pPr>
        <w:adjustRightInd/>
        <w:ind w:left="120" w:leftChars="50" w:firstLine="315" w:firstLineChars="150"/>
        <w:textAlignment w:val="auto"/>
        <w:rPr>
          <w:rFonts w:ascii="宋体" w:hAnsi="Calibri" w:cs="Arial"/>
          <w:color w:val="auto"/>
          <w:sz w:val="21"/>
          <w:szCs w:val="21"/>
          <w:highlight w:val="none"/>
        </w:rPr>
      </w:pPr>
      <w:r>
        <w:rPr>
          <w:rFonts w:hint="eastAsia" w:ascii="宋体" w:hAnsi="宋体" w:cs="Arial"/>
          <w:color w:val="auto"/>
          <w:sz w:val="21"/>
          <w:szCs w:val="21"/>
          <w:highlight w:val="none"/>
        </w:rPr>
        <w:t>（</w:t>
      </w:r>
      <w:r>
        <w:rPr>
          <w:rFonts w:ascii="宋体" w:hAnsi="宋体" w:cs="Arial"/>
          <w:color w:val="auto"/>
          <w:sz w:val="21"/>
          <w:szCs w:val="21"/>
          <w:highlight w:val="none"/>
        </w:rPr>
        <w:t>2</w:t>
      </w:r>
      <w:r>
        <w:rPr>
          <w:rFonts w:hint="eastAsia" w:ascii="宋体" w:hAnsi="宋体" w:cs="Arial"/>
          <w:color w:val="auto"/>
          <w:sz w:val="21"/>
          <w:szCs w:val="21"/>
          <w:highlight w:val="none"/>
        </w:rPr>
        <w:t>）本合同</w:t>
      </w:r>
      <w:r>
        <w:rPr>
          <w:rFonts w:hint="eastAsia" w:ascii="宋体" w:hAnsi="宋体" w:cs="Arial"/>
          <w:color w:val="auto"/>
          <w:sz w:val="21"/>
          <w:szCs w:val="21"/>
          <w:highlight w:val="none"/>
          <w:u w:val="single"/>
        </w:rPr>
        <w:t>执行</w:t>
      </w:r>
      <w:r>
        <w:rPr>
          <w:rFonts w:hint="eastAsia" w:ascii="宋体" w:hAnsi="宋体" w:cs="Arial"/>
          <w:color w:val="auto"/>
          <w:sz w:val="21"/>
          <w:szCs w:val="21"/>
          <w:highlight w:val="none"/>
        </w:rPr>
        <w:t>（执行（采用单价合同形式时）</w:t>
      </w:r>
      <w:r>
        <w:rPr>
          <w:rFonts w:ascii="宋体" w:hAnsi="宋体" w:cs="Arial"/>
          <w:color w:val="auto"/>
          <w:sz w:val="21"/>
          <w:szCs w:val="21"/>
          <w:highlight w:val="none"/>
        </w:rPr>
        <w:t>/</w:t>
      </w:r>
      <w:r>
        <w:rPr>
          <w:rFonts w:hint="eastAsia" w:ascii="宋体" w:hAnsi="宋体" w:cs="Arial"/>
          <w:color w:val="auto"/>
          <w:sz w:val="21"/>
          <w:szCs w:val="21"/>
          <w:highlight w:val="none"/>
        </w:rPr>
        <w:t>不执行（采用总价合同形式时））</w:t>
      </w:r>
      <w:r>
        <w:rPr>
          <w:rFonts w:hint="eastAsia" w:ascii="Calibri" w:hAnsi="Calibri"/>
          <w:color w:val="auto"/>
          <w:sz w:val="21"/>
          <w:szCs w:val="21"/>
          <w:highlight w:val="none"/>
        </w:rPr>
        <w:t>单价子目已完成工程量按月计量</w:t>
      </w:r>
      <w:r>
        <w:rPr>
          <w:rFonts w:hint="eastAsia" w:ascii="宋体" w:hAnsi="宋体" w:cs="Arial"/>
          <w:color w:val="auto"/>
          <w:sz w:val="21"/>
          <w:szCs w:val="21"/>
          <w:highlight w:val="none"/>
        </w:rPr>
        <w:t>。</w:t>
      </w:r>
    </w:p>
    <w:p>
      <w:pPr>
        <w:adjustRightInd/>
        <w:ind w:left="120" w:leftChars="50" w:firstLine="315" w:firstLineChars="150"/>
        <w:textAlignment w:val="auto"/>
        <w:rPr>
          <w:rFonts w:ascii="宋体" w:hAnsi="Calibri" w:cs="Arial"/>
          <w:color w:val="auto"/>
          <w:sz w:val="21"/>
          <w:szCs w:val="21"/>
          <w:highlight w:val="none"/>
        </w:rPr>
      </w:pPr>
      <w:r>
        <w:rPr>
          <w:rFonts w:hint="eastAsia" w:ascii="宋体" w:hAnsi="宋体" w:cs="Arial"/>
          <w:color w:val="auto"/>
          <w:sz w:val="21"/>
          <w:szCs w:val="21"/>
          <w:highlight w:val="none"/>
        </w:rPr>
        <w:t>（</w:t>
      </w:r>
      <w:r>
        <w:rPr>
          <w:rFonts w:ascii="宋体" w:hAnsi="宋体" w:cs="Arial"/>
          <w:color w:val="auto"/>
          <w:sz w:val="21"/>
          <w:szCs w:val="21"/>
          <w:highlight w:val="none"/>
        </w:rPr>
        <w:t>3</w:t>
      </w:r>
      <w:r>
        <w:rPr>
          <w:rFonts w:hint="eastAsia" w:ascii="宋体" w:hAnsi="宋体" w:cs="Arial"/>
          <w:color w:val="auto"/>
          <w:sz w:val="21"/>
          <w:szCs w:val="21"/>
          <w:highlight w:val="none"/>
        </w:rPr>
        <w:t>）</w:t>
      </w:r>
      <w:r>
        <w:rPr>
          <w:rFonts w:hint="eastAsia" w:ascii="宋体" w:hAnsi="宋体"/>
          <w:color w:val="auto"/>
          <w:sz w:val="21"/>
          <w:szCs w:val="21"/>
          <w:highlight w:val="none"/>
        </w:rPr>
        <w:t>总价子目计量方式采用</w:t>
      </w:r>
      <w:r>
        <w:rPr>
          <w:rFonts w:hint="eastAsia" w:ascii="宋体" w:hAnsi="宋体"/>
          <w:color w:val="auto"/>
          <w:sz w:val="21"/>
          <w:szCs w:val="21"/>
          <w:highlight w:val="none"/>
          <w:u w:val="single"/>
        </w:rPr>
        <w:t>按实际完成工程量计量</w:t>
      </w:r>
      <w:r>
        <w:rPr>
          <w:rFonts w:hint="eastAsia" w:ascii="宋体" w:hAnsi="宋体" w:cs="Arial"/>
          <w:color w:val="auto"/>
          <w:sz w:val="21"/>
          <w:szCs w:val="21"/>
          <w:highlight w:val="none"/>
        </w:rPr>
        <w:t>（支付分解报告</w:t>
      </w:r>
      <w:r>
        <w:rPr>
          <w:rFonts w:ascii="宋体" w:hAnsi="宋体" w:cs="Arial"/>
          <w:color w:val="auto"/>
          <w:sz w:val="21"/>
          <w:szCs w:val="21"/>
          <w:highlight w:val="none"/>
        </w:rPr>
        <w:t>/</w:t>
      </w:r>
      <w:r>
        <w:rPr>
          <w:rFonts w:hint="eastAsia" w:ascii="宋体" w:hAnsi="宋体" w:cs="Arial"/>
          <w:color w:val="auto"/>
          <w:sz w:val="21"/>
          <w:szCs w:val="21"/>
          <w:highlight w:val="none"/>
        </w:rPr>
        <w:t>按实际完成工程量计量）。</w:t>
      </w:r>
    </w:p>
    <w:p>
      <w:pPr>
        <w:tabs>
          <w:tab w:val="left" w:pos="1420"/>
        </w:tabs>
        <w:adjustRightInd/>
        <w:spacing w:before="34"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17.1.5</w:t>
      </w:r>
      <w:r>
        <w:rPr>
          <w:rFonts w:ascii="宋体" w:hAnsi="宋体" w:cs="宋体"/>
          <w:color w:val="auto"/>
          <w:sz w:val="21"/>
          <w:szCs w:val="21"/>
          <w:highlight w:val="none"/>
        </w:rPr>
        <w:tab/>
      </w:r>
      <w:r>
        <w:rPr>
          <w:rFonts w:ascii="宋体" w:hAnsi="宋体"/>
          <w:color w:val="auto"/>
          <w:spacing w:val="-3"/>
          <w:sz w:val="21"/>
          <w:szCs w:val="21"/>
          <w:highlight w:val="none"/>
        </w:rPr>
        <w:t>总</w:t>
      </w:r>
      <w:r>
        <w:rPr>
          <w:rFonts w:ascii="宋体" w:hAnsi="宋体"/>
          <w:color w:val="auto"/>
          <w:sz w:val="21"/>
          <w:szCs w:val="21"/>
          <w:highlight w:val="none"/>
        </w:rPr>
        <w:t>价</w:t>
      </w:r>
      <w:r>
        <w:rPr>
          <w:rFonts w:ascii="宋体" w:hAnsi="宋体"/>
          <w:color w:val="auto"/>
          <w:spacing w:val="-3"/>
          <w:sz w:val="21"/>
          <w:szCs w:val="21"/>
          <w:highlight w:val="none"/>
        </w:rPr>
        <w:t>子</w:t>
      </w:r>
      <w:r>
        <w:rPr>
          <w:rFonts w:ascii="宋体" w:hAnsi="宋体"/>
          <w:color w:val="auto"/>
          <w:sz w:val="21"/>
          <w:szCs w:val="21"/>
          <w:highlight w:val="none"/>
        </w:rPr>
        <w:t>目</w:t>
      </w:r>
      <w:r>
        <w:rPr>
          <w:rFonts w:ascii="宋体" w:hAnsi="宋体"/>
          <w:color w:val="auto"/>
          <w:spacing w:val="-3"/>
          <w:sz w:val="21"/>
          <w:szCs w:val="21"/>
          <w:highlight w:val="none"/>
        </w:rPr>
        <w:t>的</w:t>
      </w:r>
      <w:r>
        <w:rPr>
          <w:rFonts w:ascii="宋体" w:hAnsi="宋体"/>
          <w:color w:val="auto"/>
          <w:sz w:val="21"/>
          <w:szCs w:val="21"/>
          <w:highlight w:val="none"/>
        </w:rPr>
        <w:t>计</w:t>
      </w:r>
      <w:r>
        <w:rPr>
          <w:rFonts w:ascii="宋体" w:hAnsi="宋体"/>
          <w:color w:val="auto"/>
          <w:spacing w:val="-3"/>
          <w:sz w:val="21"/>
          <w:szCs w:val="21"/>
          <w:highlight w:val="none"/>
        </w:rPr>
        <w:t>量</w:t>
      </w:r>
      <w:r>
        <w:rPr>
          <w:rFonts w:ascii="宋体" w:hAnsi="宋体"/>
          <w:color w:val="auto"/>
          <w:sz w:val="21"/>
          <w:szCs w:val="21"/>
          <w:highlight w:val="none"/>
        </w:rPr>
        <w:t>（适</w:t>
      </w:r>
      <w:r>
        <w:rPr>
          <w:rFonts w:ascii="宋体" w:hAnsi="宋体"/>
          <w:color w:val="auto"/>
          <w:spacing w:val="-3"/>
          <w:sz w:val="21"/>
          <w:szCs w:val="21"/>
          <w:highlight w:val="none"/>
        </w:rPr>
        <w:t>用</w:t>
      </w:r>
      <w:r>
        <w:rPr>
          <w:rFonts w:ascii="宋体" w:hAnsi="宋体"/>
          <w:color w:val="auto"/>
          <w:sz w:val="21"/>
          <w:szCs w:val="21"/>
          <w:highlight w:val="none"/>
        </w:rPr>
        <w:t>于</w:t>
      </w:r>
      <w:r>
        <w:rPr>
          <w:rFonts w:ascii="宋体" w:hAnsi="宋体"/>
          <w:color w:val="auto"/>
          <w:spacing w:val="-3"/>
          <w:sz w:val="21"/>
          <w:szCs w:val="21"/>
          <w:highlight w:val="none"/>
        </w:rPr>
        <w:t>采</w:t>
      </w:r>
      <w:r>
        <w:rPr>
          <w:rFonts w:ascii="宋体" w:hAnsi="宋体"/>
          <w:color w:val="auto"/>
          <w:sz w:val="21"/>
          <w:szCs w:val="21"/>
          <w:highlight w:val="none"/>
        </w:rPr>
        <w:t>用</w:t>
      </w:r>
      <w:r>
        <w:rPr>
          <w:rFonts w:ascii="宋体" w:hAnsi="宋体"/>
          <w:color w:val="auto"/>
          <w:spacing w:val="-3"/>
          <w:sz w:val="21"/>
          <w:szCs w:val="21"/>
          <w:highlight w:val="none"/>
        </w:rPr>
        <w:t>支</w:t>
      </w:r>
      <w:r>
        <w:rPr>
          <w:rFonts w:ascii="宋体" w:hAnsi="宋体"/>
          <w:color w:val="auto"/>
          <w:sz w:val="21"/>
          <w:szCs w:val="21"/>
          <w:highlight w:val="none"/>
        </w:rPr>
        <w:t>付</w:t>
      </w:r>
      <w:r>
        <w:rPr>
          <w:rFonts w:ascii="宋体" w:hAnsi="宋体"/>
          <w:color w:val="auto"/>
          <w:spacing w:val="-3"/>
          <w:sz w:val="21"/>
          <w:szCs w:val="21"/>
          <w:highlight w:val="none"/>
        </w:rPr>
        <w:t>分</w:t>
      </w:r>
      <w:r>
        <w:rPr>
          <w:rFonts w:ascii="宋体" w:hAnsi="宋体"/>
          <w:color w:val="auto"/>
          <w:sz w:val="21"/>
          <w:szCs w:val="21"/>
          <w:highlight w:val="none"/>
        </w:rPr>
        <w:t>解</w:t>
      </w:r>
      <w:r>
        <w:rPr>
          <w:rFonts w:ascii="宋体" w:hAnsi="宋体"/>
          <w:color w:val="auto"/>
          <w:spacing w:val="-3"/>
          <w:sz w:val="21"/>
          <w:szCs w:val="21"/>
          <w:highlight w:val="none"/>
        </w:rPr>
        <w:t>报</w:t>
      </w:r>
      <w:r>
        <w:rPr>
          <w:rFonts w:ascii="宋体" w:hAnsi="宋体"/>
          <w:color w:val="auto"/>
          <w:sz w:val="21"/>
          <w:szCs w:val="21"/>
          <w:highlight w:val="none"/>
        </w:rPr>
        <w:t>告）</w:t>
      </w:r>
    </w:p>
    <w:p>
      <w:pPr>
        <w:tabs>
          <w:tab w:val="left" w:pos="8453"/>
        </w:tabs>
        <w:adjustRightInd/>
        <w:spacing w:before="98"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采</w:t>
      </w:r>
      <w:r>
        <w:rPr>
          <w:rFonts w:ascii="宋体" w:hAnsi="宋体"/>
          <w:color w:val="auto"/>
          <w:spacing w:val="-3"/>
          <w:sz w:val="21"/>
          <w:szCs w:val="21"/>
          <w:highlight w:val="none"/>
        </w:rPr>
        <w:t>用</w:t>
      </w:r>
      <w:r>
        <w:rPr>
          <w:rFonts w:ascii="宋体" w:hAnsi="宋体"/>
          <w:color w:val="auto"/>
          <w:sz w:val="21"/>
          <w:szCs w:val="21"/>
          <w:highlight w:val="none"/>
        </w:rPr>
        <w:t>支</w:t>
      </w:r>
      <w:r>
        <w:rPr>
          <w:rFonts w:ascii="宋体" w:hAnsi="宋体"/>
          <w:color w:val="auto"/>
          <w:spacing w:val="-3"/>
          <w:sz w:val="21"/>
          <w:szCs w:val="21"/>
          <w:highlight w:val="none"/>
        </w:rPr>
        <w:t>付</w:t>
      </w:r>
      <w:r>
        <w:rPr>
          <w:rFonts w:ascii="宋体" w:hAnsi="宋体"/>
          <w:color w:val="auto"/>
          <w:sz w:val="21"/>
          <w:szCs w:val="21"/>
          <w:highlight w:val="none"/>
        </w:rPr>
        <w:t>分</w:t>
      </w:r>
      <w:r>
        <w:rPr>
          <w:rFonts w:ascii="宋体" w:hAnsi="宋体"/>
          <w:color w:val="auto"/>
          <w:spacing w:val="-3"/>
          <w:sz w:val="21"/>
          <w:szCs w:val="21"/>
          <w:highlight w:val="none"/>
        </w:rPr>
        <w:t>解</w:t>
      </w:r>
      <w:r>
        <w:rPr>
          <w:rFonts w:ascii="宋体" w:hAnsi="宋体"/>
          <w:color w:val="auto"/>
          <w:sz w:val="21"/>
          <w:szCs w:val="21"/>
          <w:highlight w:val="none"/>
        </w:rPr>
        <w:t>报</w:t>
      </w:r>
      <w:r>
        <w:rPr>
          <w:rFonts w:ascii="宋体" w:hAnsi="宋体"/>
          <w:color w:val="auto"/>
          <w:spacing w:val="-3"/>
          <w:sz w:val="21"/>
          <w:szCs w:val="21"/>
          <w:highlight w:val="none"/>
        </w:rPr>
        <w:t>告计</w:t>
      </w:r>
      <w:r>
        <w:rPr>
          <w:rFonts w:ascii="宋体" w:hAnsi="宋体"/>
          <w:color w:val="auto"/>
          <w:sz w:val="21"/>
          <w:szCs w:val="21"/>
          <w:highlight w:val="none"/>
        </w:rPr>
        <w:t>量方</w:t>
      </w:r>
      <w:r>
        <w:rPr>
          <w:rFonts w:ascii="宋体" w:hAnsi="宋体"/>
          <w:color w:val="auto"/>
          <w:spacing w:val="-3"/>
          <w:sz w:val="21"/>
          <w:szCs w:val="21"/>
          <w:highlight w:val="none"/>
        </w:rPr>
        <w:t>式</w:t>
      </w:r>
      <w:r>
        <w:rPr>
          <w:rFonts w:ascii="宋体" w:hAnsi="宋体"/>
          <w:color w:val="auto"/>
          <w:sz w:val="21"/>
          <w:szCs w:val="21"/>
          <w:highlight w:val="none"/>
        </w:rPr>
        <w:t>的</w:t>
      </w:r>
      <w:r>
        <w:rPr>
          <w:rFonts w:ascii="宋体" w:hAnsi="宋体"/>
          <w:color w:val="auto"/>
          <w:spacing w:val="-3"/>
          <w:sz w:val="21"/>
          <w:szCs w:val="21"/>
          <w:highlight w:val="none"/>
        </w:rPr>
        <w:t>，</w:t>
      </w:r>
      <w:r>
        <w:rPr>
          <w:rFonts w:ascii="宋体" w:hAnsi="宋体"/>
          <w:color w:val="auto"/>
          <w:sz w:val="21"/>
          <w:szCs w:val="21"/>
          <w:highlight w:val="none"/>
        </w:rPr>
        <w:t>总</w:t>
      </w:r>
      <w:r>
        <w:rPr>
          <w:rFonts w:ascii="宋体" w:hAnsi="宋体"/>
          <w:color w:val="auto"/>
          <w:spacing w:val="-3"/>
          <w:sz w:val="21"/>
          <w:szCs w:val="21"/>
          <w:highlight w:val="none"/>
        </w:rPr>
        <w:t>价</w:t>
      </w:r>
      <w:r>
        <w:rPr>
          <w:rFonts w:ascii="宋体" w:hAnsi="宋体"/>
          <w:color w:val="auto"/>
          <w:sz w:val="21"/>
          <w:szCs w:val="21"/>
          <w:highlight w:val="none"/>
        </w:rPr>
        <w:t>子</w:t>
      </w:r>
      <w:r>
        <w:rPr>
          <w:rFonts w:ascii="宋体" w:hAnsi="宋体"/>
          <w:color w:val="auto"/>
          <w:spacing w:val="-2"/>
          <w:sz w:val="21"/>
          <w:szCs w:val="21"/>
          <w:highlight w:val="none"/>
        </w:rPr>
        <w:t>目</w:t>
      </w:r>
      <w:r>
        <w:rPr>
          <w:rFonts w:ascii="宋体" w:hAnsi="宋体"/>
          <w:color w:val="auto"/>
          <w:sz w:val="21"/>
          <w:szCs w:val="21"/>
          <w:highlight w:val="none"/>
        </w:rPr>
        <w:t>的</w:t>
      </w:r>
      <w:r>
        <w:rPr>
          <w:rFonts w:ascii="宋体" w:hAnsi="宋体"/>
          <w:color w:val="auto"/>
          <w:spacing w:val="-3"/>
          <w:sz w:val="21"/>
          <w:szCs w:val="21"/>
          <w:highlight w:val="none"/>
        </w:rPr>
        <w:t>价</w:t>
      </w:r>
      <w:r>
        <w:rPr>
          <w:rFonts w:ascii="宋体" w:hAnsi="宋体"/>
          <w:color w:val="auto"/>
          <w:sz w:val="21"/>
          <w:szCs w:val="21"/>
          <w:highlight w:val="none"/>
        </w:rPr>
        <w:t>格调</w:t>
      </w:r>
      <w:r>
        <w:rPr>
          <w:rFonts w:ascii="宋体" w:hAnsi="宋体"/>
          <w:color w:val="auto"/>
          <w:spacing w:val="-3"/>
          <w:sz w:val="21"/>
          <w:szCs w:val="21"/>
          <w:highlight w:val="none"/>
        </w:rPr>
        <w:t>整</w:t>
      </w:r>
      <w:r>
        <w:rPr>
          <w:rFonts w:ascii="宋体" w:hAnsi="宋体"/>
          <w:color w:val="auto"/>
          <w:sz w:val="21"/>
          <w:szCs w:val="21"/>
          <w:highlight w:val="none"/>
        </w:rPr>
        <w:t>方</w:t>
      </w:r>
      <w:r>
        <w:rPr>
          <w:rFonts w:ascii="宋体" w:hAnsi="宋体"/>
          <w:color w:val="auto"/>
          <w:spacing w:val="-3"/>
          <w:sz w:val="21"/>
          <w:szCs w:val="21"/>
          <w:highlight w:val="none"/>
        </w:rPr>
        <w:t>法</w:t>
      </w:r>
      <w:r>
        <w:rPr>
          <w:rFonts w:ascii="宋体" w:hAnsi="宋体"/>
          <w:color w:val="auto"/>
          <w:spacing w:val="-1"/>
          <w:sz w:val="21"/>
          <w:szCs w:val="21"/>
          <w:highlight w:val="none"/>
        </w:rPr>
        <w:t>：</w:t>
      </w:r>
      <w:r>
        <w:rPr>
          <w:rFonts w:ascii="宋体" w:hAnsi="宋体" w:cs="Arial"/>
          <w:color w:val="auto"/>
          <w:sz w:val="21"/>
          <w:szCs w:val="21"/>
          <w:highlight w:val="none"/>
        </w:rPr>
        <w:t>/</w:t>
      </w:r>
      <w:r>
        <w:rPr>
          <w:rFonts w:ascii="宋体" w:hAnsi="宋体"/>
          <w:color w:val="auto"/>
          <w:sz w:val="21"/>
          <w:szCs w:val="21"/>
          <w:highlight w:val="none"/>
          <w:u w:val="single" w:color="000000"/>
        </w:rPr>
        <w:tab/>
      </w:r>
    </w:p>
    <w:p>
      <w:pPr>
        <w:adjustRightInd/>
        <w:spacing w:before="5" w:line="100" w:lineRule="exact"/>
        <w:ind w:firstLine="0" w:firstLineChars="0"/>
        <w:textAlignment w:val="auto"/>
        <w:rPr>
          <w:rFonts w:ascii="Calibri" w:hAnsi="Calibri"/>
          <w:color w:val="auto"/>
          <w:sz w:val="10"/>
          <w:szCs w:val="10"/>
          <w:highlight w:val="none"/>
        </w:rPr>
      </w:pP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17.1.5</w:t>
      </w:r>
      <w:r>
        <w:rPr>
          <w:rFonts w:ascii="宋体" w:hAnsi="宋体" w:cs="宋体"/>
          <w:color w:val="auto"/>
          <w:sz w:val="21"/>
          <w:szCs w:val="21"/>
          <w:highlight w:val="none"/>
        </w:rPr>
        <w:tab/>
      </w:r>
      <w:r>
        <w:rPr>
          <w:rFonts w:ascii="宋体" w:hAnsi="宋体"/>
          <w:color w:val="auto"/>
          <w:spacing w:val="-3"/>
          <w:sz w:val="21"/>
          <w:szCs w:val="21"/>
          <w:highlight w:val="none"/>
        </w:rPr>
        <w:t>总</w:t>
      </w:r>
      <w:r>
        <w:rPr>
          <w:rFonts w:ascii="宋体" w:hAnsi="宋体"/>
          <w:color w:val="auto"/>
          <w:sz w:val="21"/>
          <w:szCs w:val="21"/>
          <w:highlight w:val="none"/>
        </w:rPr>
        <w:t>价</w:t>
      </w:r>
      <w:r>
        <w:rPr>
          <w:rFonts w:ascii="宋体" w:hAnsi="宋体"/>
          <w:color w:val="auto"/>
          <w:spacing w:val="-3"/>
          <w:sz w:val="21"/>
          <w:szCs w:val="21"/>
          <w:highlight w:val="none"/>
        </w:rPr>
        <w:t>子</w:t>
      </w:r>
      <w:r>
        <w:rPr>
          <w:rFonts w:ascii="宋体" w:hAnsi="宋体"/>
          <w:color w:val="auto"/>
          <w:sz w:val="21"/>
          <w:szCs w:val="21"/>
          <w:highlight w:val="none"/>
        </w:rPr>
        <w:t>目</w:t>
      </w:r>
      <w:r>
        <w:rPr>
          <w:rFonts w:ascii="宋体" w:hAnsi="宋体"/>
          <w:color w:val="auto"/>
          <w:spacing w:val="-3"/>
          <w:sz w:val="21"/>
          <w:szCs w:val="21"/>
          <w:highlight w:val="none"/>
        </w:rPr>
        <w:t>的</w:t>
      </w:r>
      <w:r>
        <w:rPr>
          <w:rFonts w:ascii="宋体" w:hAnsi="宋体"/>
          <w:color w:val="auto"/>
          <w:sz w:val="21"/>
          <w:szCs w:val="21"/>
          <w:highlight w:val="none"/>
        </w:rPr>
        <w:t>计</w:t>
      </w:r>
      <w:r>
        <w:rPr>
          <w:rFonts w:ascii="宋体" w:hAnsi="宋体"/>
          <w:color w:val="auto"/>
          <w:spacing w:val="-3"/>
          <w:sz w:val="21"/>
          <w:szCs w:val="21"/>
          <w:highlight w:val="none"/>
        </w:rPr>
        <w:t>量</w:t>
      </w:r>
      <w:r>
        <w:rPr>
          <w:rFonts w:ascii="宋体" w:hAnsi="宋体"/>
          <w:color w:val="auto"/>
          <w:sz w:val="21"/>
          <w:szCs w:val="21"/>
          <w:highlight w:val="none"/>
        </w:rPr>
        <w:t>（适</w:t>
      </w:r>
      <w:r>
        <w:rPr>
          <w:rFonts w:ascii="宋体" w:hAnsi="宋体"/>
          <w:color w:val="auto"/>
          <w:spacing w:val="-3"/>
          <w:sz w:val="21"/>
          <w:szCs w:val="21"/>
          <w:highlight w:val="none"/>
        </w:rPr>
        <w:t>用</w:t>
      </w:r>
      <w:r>
        <w:rPr>
          <w:rFonts w:ascii="宋体" w:hAnsi="宋体"/>
          <w:color w:val="auto"/>
          <w:sz w:val="21"/>
          <w:szCs w:val="21"/>
          <w:highlight w:val="none"/>
        </w:rPr>
        <w:t>于</w:t>
      </w:r>
      <w:r>
        <w:rPr>
          <w:rFonts w:ascii="宋体" w:hAnsi="宋体"/>
          <w:color w:val="auto"/>
          <w:spacing w:val="-3"/>
          <w:sz w:val="21"/>
          <w:szCs w:val="21"/>
          <w:highlight w:val="none"/>
        </w:rPr>
        <w:t>采</w:t>
      </w:r>
      <w:r>
        <w:rPr>
          <w:rFonts w:ascii="宋体" w:hAnsi="宋体"/>
          <w:color w:val="auto"/>
          <w:sz w:val="21"/>
          <w:szCs w:val="21"/>
          <w:highlight w:val="none"/>
        </w:rPr>
        <w:t>用</w:t>
      </w:r>
      <w:r>
        <w:rPr>
          <w:rFonts w:ascii="宋体" w:hAnsi="宋体"/>
          <w:color w:val="auto"/>
          <w:spacing w:val="-3"/>
          <w:sz w:val="21"/>
          <w:szCs w:val="21"/>
          <w:highlight w:val="none"/>
        </w:rPr>
        <w:t>按</w:t>
      </w:r>
      <w:r>
        <w:rPr>
          <w:rFonts w:ascii="宋体" w:hAnsi="宋体"/>
          <w:color w:val="auto"/>
          <w:sz w:val="21"/>
          <w:szCs w:val="21"/>
          <w:highlight w:val="none"/>
        </w:rPr>
        <w:t>实</w:t>
      </w:r>
      <w:r>
        <w:rPr>
          <w:rFonts w:ascii="宋体" w:hAnsi="宋体"/>
          <w:color w:val="auto"/>
          <w:spacing w:val="-3"/>
          <w:sz w:val="21"/>
          <w:szCs w:val="21"/>
          <w:highlight w:val="none"/>
        </w:rPr>
        <w:t>际</w:t>
      </w:r>
      <w:r>
        <w:rPr>
          <w:rFonts w:ascii="宋体" w:hAnsi="宋体"/>
          <w:color w:val="auto"/>
          <w:sz w:val="21"/>
          <w:szCs w:val="21"/>
          <w:highlight w:val="none"/>
        </w:rPr>
        <w:t>完</w:t>
      </w:r>
      <w:r>
        <w:rPr>
          <w:rFonts w:ascii="宋体" w:hAnsi="宋体"/>
          <w:color w:val="auto"/>
          <w:spacing w:val="-3"/>
          <w:sz w:val="21"/>
          <w:szCs w:val="21"/>
          <w:highlight w:val="none"/>
        </w:rPr>
        <w:t>成</w:t>
      </w:r>
      <w:r>
        <w:rPr>
          <w:rFonts w:ascii="宋体" w:hAnsi="宋体"/>
          <w:color w:val="auto"/>
          <w:sz w:val="21"/>
          <w:szCs w:val="21"/>
          <w:highlight w:val="none"/>
        </w:rPr>
        <w:t>工程</w:t>
      </w:r>
      <w:r>
        <w:rPr>
          <w:rFonts w:ascii="宋体" w:hAnsi="宋体"/>
          <w:color w:val="auto"/>
          <w:spacing w:val="-3"/>
          <w:sz w:val="21"/>
          <w:szCs w:val="21"/>
          <w:highlight w:val="none"/>
        </w:rPr>
        <w:t>量</w:t>
      </w:r>
      <w:r>
        <w:rPr>
          <w:rFonts w:ascii="宋体" w:hAnsi="宋体"/>
          <w:color w:val="auto"/>
          <w:sz w:val="21"/>
          <w:szCs w:val="21"/>
          <w:highlight w:val="none"/>
        </w:rPr>
        <w:t>计</w:t>
      </w:r>
      <w:r>
        <w:rPr>
          <w:rFonts w:ascii="宋体" w:hAnsi="宋体"/>
          <w:color w:val="auto"/>
          <w:spacing w:val="-3"/>
          <w:sz w:val="21"/>
          <w:szCs w:val="21"/>
          <w:highlight w:val="none"/>
        </w:rPr>
        <w:t>量</w:t>
      </w:r>
      <w:r>
        <w:rPr>
          <w:rFonts w:ascii="宋体" w:hAnsi="宋体"/>
          <w:color w:val="auto"/>
          <w:sz w:val="21"/>
          <w:szCs w:val="21"/>
          <w:highlight w:val="none"/>
        </w:rPr>
        <w:t>）</w:t>
      </w:r>
    </w:p>
    <w:p>
      <w:pPr>
        <w:adjustRightInd/>
        <w:spacing w:before="1" w:line="100" w:lineRule="exact"/>
        <w:ind w:firstLine="0" w:firstLineChars="0"/>
        <w:textAlignment w:val="auto"/>
        <w:rPr>
          <w:rFonts w:ascii="Calibri" w:hAnsi="Calibri"/>
          <w:color w:val="auto"/>
          <w:sz w:val="10"/>
          <w:szCs w:val="10"/>
          <w:highlight w:val="none"/>
        </w:rPr>
      </w:pPr>
    </w:p>
    <w:p>
      <w:pPr>
        <w:tabs>
          <w:tab w:val="left" w:pos="8453"/>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采</w:t>
      </w:r>
      <w:r>
        <w:rPr>
          <w:rFonts w:ascii="宋体" w:hAnsi="宋体"/>
          <w:color w:val="auto"/>
          <w:spacing w:val="-3"/>
          <w:sz w:val="21"/>
          <w:szCs w:val="21"/>
          <w:highlight w:val="none"/>
        </w:rPr>
        <w:t>用</w:t>
      </w:r>
      <w:r>
        <w:rPr>
          <w:rFonts w:ascii="宋体" w:hAnsi="宋体"/>
          <w:color w:val="auto"/>
          <w:sz w:val="21"/>
          <w:szCs w:val="21"/>
          <w:highlight w:val="none"/>
        </w:rPr>
        <w:t>按</w:t>
      </w:r>
      <w:r>
        <w:rPr>
          <w:rFonts w:ascii="宋体" w:hAnsi="宋体"/>
          <w:color w:val="auto"/>
          <w:spacing w:val="-3"/>
          <w:sz w:val="21"/>
          <w:szCs w:val="21"/>
          <w:highlight w:val="none"/>
        </w:rPr>
        <w:t>实</w:t>
      </w:r>
      <w:r>
        <w:rPr>
          <w:rFonts w:ascii="宋体" w:hAnsi="宋体"/>
          <w:color w:val="auto"/>
          <w:sz w:val="21"/>
          <w:szCs w:val="21"/>
          <w:highlight w:val="none"/>
        </w:rPr>
        <w:t>际</w:t>
      </w:r>
      <w:r>
        <w:rPr>
          <w:rFonts w:ascii="宋体" w:hAnsi="宋体"/>
          <w:color w:val="auto"/>
          <w:spacing w:val="-3"/>
          <w:sz w:val="21"/>
          <w:szCs w:val="21"/>
          <w:highlight w:val="none"/>
        </w:rPr>
        <w:t>完</w:t>
      </w:r>
      <w:r>
        <w:rPr>
          <w:rFonts w:ascii="宋体" w:hAnsi="宋体"/>
          <w:color w:val="auto"/>
          <w:sz w:val="21"/>
          <w:szCs w:val="21"/>
          <w:highlight w:val="none"/>
        </w:rPr>
        <w:t>成</w:t>
      </w:r>
      <w:r>
        <w:rPr>
          <w:rFonts w:ascii="宋体" w:hAnsi="宋体"/>
          <w:color w:val="auto"/>
          <w:spacing w:val="-3"/>
          <w:sz w:val="21"/>
          <w:szCs w:val="21"/>
          <w:highlight w:val="none"/>
        </w:rPr>
        <w:t>工程</w:t>
      </w:r>
      <w:r>
        <w:rPr>
          <w:rFonts w:ascii="宋体" w:hAnsi="宋体"/>
          <w:color w:val="auto"/>
          <w:sz w:val="21"/>
          <w:szCs w:val="21"/>
          <w:highlight w:val="none"/>
        </w:rPr>
        <w:t>量计</w:t>
      </w:r>
      <w:r>
        <w:rPr>
          <w:rFonts w:ascii="宋体" w:hAnsi="宋体"/>
          <w:color w:val="auto"/>
          <w:spacing w:val="-3"/>
          <w:sz w:val="21"/>
          <w:szCs w:val="21"/>
          <w:highlight w:val="none"/>
        </w:rPr>
        <w:t>量</w:t>
      </w:r>
      <w:r>
        <w:rPr>
          <w:rFonts w:ascii="宋体" w:hAnsi="宋体"/>
          <w:color w:val="auto"/>
          <w:sz w:val="21"/>
          <w:szCs w:val="21"/>
          <w:highlight w:val="none"/>
        </w:rPr>
        <w:t>方</w:t>
      </w:r>
      <w:r>
        <w:rPr>
          <w:rFonts w:ascii="宋体" w:hAnsi="宋体"/>
          <w:color w:val="auto"/>
          <w:spacing w:val="-3"/>
          <w:sz w:val="21"/>
          <w:szCs w:val="21"/>
          <w:highlight w:val="none"/>
        </w:rPr>
        <w:t>式</w:t>
      </w:r>
      <w:r>
        <w:rPr>
          <w:rFonts w:ascii="宋体" w:hAnsi="宋体"/>
          <w:color w:val="auto"/>
          <w:sz w:val="21"/>
          <w:szCs w:val="21"/>
          <w:highlight w:val="none"/>
        </w:rPr>
        <w:t>的</w:t>
      </w:r>
      <w:r>
        <w:rPr>
          <w:rFonts w:ascii="宋体" w:hAnsi="宋体" w:cs="宋体"/>
          <w:color w:val="auto"/>
          <w:spacing w:val="-3"/>
          <w:sz w:val="21"/>
          <w:szCs w:val="21"/>
          <w:highlight w:val="none"/>
        </w:rPr>
        <w:t>,</w:t>
      </w:r>
      <w:r>
        <w:rPr>
          <w:rFonts w:ascii="宋体" w:hAnsi="宋体"/>
          <w:color w:val="auto"/>
          <w:sz w:val="21"/>
          <w:szCs w:val="21"/>
          <w:highlight w:val="none"/>
        </w:rPr>
        <w:t>总</w:t>
      </w:r>
      <w:r>
        <w:rPr>
          <w:rFonts w:ascii="宋体" w:hAnsi="宋体"/>
          <w:color w:val="auto"/>
          <w:spacing w:val="-2"/>
          <w:sz w:val="21"/>
          <w:szCs w:val="21"/>
          <w:highlight w:val="none"/>
        </w:rPr>
        <w:t>价</w:t>
      </w:r>
      <w:r>
        <w:rPr>
          <w:rFonts w:ascii="宋体" w:hAnsi="宋体"/>
          <w:color w:val="auto"/>
          <w:sz w:val="21"/>
          <w:szCs w:val="21"/>
          <w:highlight w:val="none"/>
        </w:rPr>
        <w:t>子</w:t>
      </w:r>
      <w:r>
        <w:rPr>
          <w:rFonts w:ascii="宋体" w:hAnsi="宋体"/>
          <w:color w:val="auto"/>
          <w:spacing w:val="-3"/>
          <w:sz w:val="21"/>
          <w:szCs w:val="21"/>
          <w:highlight w:val="none"/>
        </w:rPr>
        <w:t>目的</w:t>
      </w:r>
      <w:r>
        <w:rPr>
          <w:rFonts w:ascii="宋体" w:hAnsi="宋体"/>
          <w:color w:val="auto"/>
          <w:sz w:val="21"/>
          <w:szCs w:val="21"/>
          <w:highlight w:val="none"/>
        </w:rPr>
        <w:t>价格</w:t>
      </w:r>
      <w:r>
        <w:rPr>
          <w:rFonts w:ascii="宋体" w:hAnsi="宋体"/>
          <w:color w:val="auto"/>
          <w:spacing w:val="-3"/>
          <w:sz w:val="21"/>
          <w:szCs w:val="21"/>
          <w:highlight w:val="none"/>
        </w:rPr>
        <w:t>调</w:t>
      </w:r>
      <w:r>
        <w:rPr>
          <w:rFonts w:ascii="宋体" w:hAnsi="宋体"/>
          <w:color w:val="auto"/>
          <w:sz w:val="21"/>
          <w:szCs w:val="21"/>
          <w:highlight w:val="none"/>
        </w:rPr>
        <w:t>整</w:t>
      </w:r>
      <w:r>
        <w:rPr>
          <w:rFonts w:ascii="宋体" w:hAnsi="宋体"/>
          <w:color w:val="auto"/>
          <w:spacing w:val="-3"/>
          <w:sz w:val="21"/>
          <w:szCs w:val="21"/>
          <w:highlight w:val="none"/>
        </w:rPr>
        <w:t>方</w:t>
      </w:r>
      <w:r>
        <w:rPr>
          <w:rFonts w:ascii="宋体" w:hAnsi="宋体"/>
          <w:color w:val="auto"/>
          <w:sz w:val="21"/>
          <w:szCs w:val="21"/>
          <w:highlight w:val="none"/>
        </w:rPr>
        <w:t>法</w:t>
      </w:r>
      <w:r>
        <w:rPr>
          <w:rFonts w:ascii="宋体" w:hAnsi="宋体"/>
          <w:color w:val="auto"/>
          <w:spacing w:val="-3"/>
          <w:sz w:val="21"/>
          <w:szCs w:val="21"/>
          <w:highlight w:val="none"/>
        </w:rPr>
        <w:t>：</w:t>
      </w:r>
      <w:r>
        <w:rPr>
          <w:rFonts w:ascii="宋体" w:hAnsi="宋体" w:cs="Arial"/>
          <w:color w:val="auto"/>
          <w:sz w:val="21"/>
          <w:szCs w:val="21"/>
          <w:highlight w:val="none"/>
        </w:rPr>
        <w:t>/</w:t>
      </w:r>
      <w:r>
        <w:rPr>
          <w:rFonts w:ascii="宋体" w:hAnsi="宋体"/>
          <w:color w:val="auto"/>
          <w:sz w:val="21"/>
          <w:szCs w:val="21"/>
          <w:highlight w:val="none"/>
          <w:u w:val="single" w:color="000000"/>
        </w:rPr>
        <w:tab/>
      </w:r>
    </w:p>
    <w:p>
      <w:pPr>
        <w:adjustRightInd/>
        <w:spacing w:line="200" w:lineRule="exact"/>
        <w:ind w:firstLine="0" w:firstLineChars="0"/>
        <w:textAlignment w:val="auto"/>
        <w:rPr>
          <w:rFonts w:ascii="Calibri" w:hAnsi="Calibri"/>
          <w:color w:val="auto"/>
          <w:sz w:val="20"/>
          <w:highlight w:val="none"/>
        </w:rPr>
      </w:pPr>
    </w:p>
    <w:p>
      <w:pPr>
        <w:adjustRightInd/>
        <w:spacing w:before="9" w:line="220" w:lineRule="exact"/>
        <w:ind w:firstLine="0" w:firstLineChars="0"/>
        <w:textAlignment w:val="auto"/>
        <w:rPr>
          <w:rFonts w:ascii="Calibri" w:hAnsi="Calibri"/>
          <w:color w:val="auto"/>
          <w:sz w:val="22"/>
          <w:szCs w:val="22"/>
          <w:highlight w:val="none"/>
        </w:rPr>
      </w:pPr>
    </w:p>
    <w:p>
      <w:pPr>
        <w:numPr>
          <w:ilvl w:val="1"/>
          <w:numId w:val="12"/>
        </w:numPr>
        <w:tabs>
          <w:tab w:val="left" w:pos="877"/>
        </w:tabs>
        <w:adjustRightInd/>
        <w:spacing w:line="340" w:lineRule="exact"/>
        <w:ind w:left="878" w:firstLineChars="0"/>
        <w:jc w:val="both"/>
        <w:textAlignment w:val="auto"/>
        <w:rPr>
          <w:rFonts w:ascii="宋体" w:hAnsi="宋体" w:cs="宋体"/>
          <w:color w:val="auto"/>
          <w:szCs w:val="24"/>
          <w:highlight w:val="none"/>
          <w:lang w:eastAsia="en-US"/>
        </w:rPr>
      </w:pPr>
      <w:bookmarkStart w:id="815" w:name="_bookmark152"/>
      <w:bookmarkEnd w:id="815"/>
      <w:r>
        <w:rPr>
          <w:rFonts w:ascii="宋体" w:hAnsi="宋体" w:cs="宋体"/>
          <w:color w:val="auto"/>
          <w:szCs w:val="24"/>
          <w:highlight w:val="none"/>
          <w:lang w:eastAsia="en-US"/>
        </w:rPr>
        <w:t>预付款</w:t>
      </w:r>
    </w:p>
    <w:p>
      <w:pPr>
        <w:adjustRightInd/>
        <w:spacing w:before="3" w:line="240" w:lineRule="exact"/>
        <w:ind w:firstLine="0" w:firstLineChars="0"/>
        <w:textAlignment w:val="auto"/>
        <w:rPr>
          <w:rFonts w:ascii="Calibri" w:hAnsi="Calibri"/>
          <w:color w:val="auto"/>
          <w:szCs w:val="24"/>
          <w:highlight w:val="none"/>
          <w:lang w:eastAsia="en-US"/>
        </w:rPr>
      </w:pPr>
    </w:p>
    <w:p>
      <w:pPr>
        <w:tabs>
          <w:tab w:val="left" w:pos="1420"/>
        </w:tabs>
        <w:adjustRightInd/>
        <w:spacing w:line="240" w:lineRule="auto"/>
        <w:ind w:left="578"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17.2.1</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预</w:t>
      </w:r>
      <w:r>
        <w:rPr>
          <w:rFonts w:ascii="宋体" w:hAnsi="宋体"/>
          <w:color w:val="auto"/>
          <w:sz w:val="21"/>
          <w:szCs w:val="21"/>
          <w:highlight w:val="none"/>
          <w:lang w:eastAsia="en-US"/>
        </w:rPr>
        <w:t>付款</w:t>
      </w:r>
    </w:p>
    <w:p>
      <w:pPr>
        <w:adjustRightInd/>
        <w:spacing w:before="1" w:line="100" w:lineRule="exact"/>
        <w:ind w:firstLine="0" w:firstLineChars="0"/>
        <w:textAlignment w:val="auto"/>
        <w:rPr>
          <w:rFonts w:ascii="Calibri" w:hAnsi="Calibri"/>
          <w:color w:val="auto"/>
          <w:sz w:val="10"/>
          <w:szCs w:val="10"/>
          <w:highlight w:val="none"/>
          <w:lang w:eastAsia="en-US"/>
        </w:rPr>
      </w:pPr>
    </w:p>
    <w:p>
      <w:pPr>
        <w:adjustRightInd/>
        <w:spacing w:line="240" w:lineRule="auto"/>
        <w:ind w:left="578" w:firstLine="0" w:firstLineChars="0"/>
        <w:textAlignment w:val="auto"/>
        <w:rPr>
          <w:rFonts w:ascii="宋体" w:hAnsi="宋体"/>
          <w:color w:val="auto"/>
          <w:sz w:val="21"/>
          <w:szCs w:val="21"/>
          <w:highlight w:val="none"/>
          <w:lang w:eastAsia="en-US"/>
        </w:rPr>
      </w:pPr>
      <w:r>
        <w:rPr>
          <w:rFonts w:ascii="宋体" w:hAnsi="宋体"/>
          <w:color w:val="auto"/>
          <w:sz w:val="21"/>
          <w:szCs w:val="21"/>
          <w:highlight w:val="none"/>
          <w:lang w:eastAsia="en-US"/>
        </w:rPr>
        <w:t>（</w:t>
      </w:r>
      <w:r>
        <w:rPr>
          <w:rFonts w:ascii="宋体" w:hAnsi="宋体" w:cs="宋体"/>
          <w:color w:val="auto"/>
          <w:sz w:val="21"/>
          <w:szCs w:val="21"/>
          <w:highlight w:val="none"/>
          <w:lang w:eastAsia="en-US"/>
        </w:rPr>
        <w:t>1</w:t>
      </w:r>
      <w:r>
        <w:rPr>
          <w:rFonts w:ascii="宋体" w:hAnsi="宋体"/>
          <w:color w:val="auto"/>
          <w:spacing w:val="-3"/>
          <w:sz w:val="21"/>
          <w:szCs w:val="21"/>
          <w:highlight w:val="none"/>
          <w:lang w:eastAsia="en-US"/>
        </w:rPr>
        <w:t>）</w:t>
      </w:r>
      <w:r>
        <w:rPr>
          <w:rFonts w:ascii="宋体" w:hAnsi="宋体"/>
          <w:color w:val="auto"/>
          <w:sz w:val="21"/>
          <w:szCs w:val="21"/>
          <w:highlight w:val="none"/>
          <w:lang w:eastAsia="en-US"/>
        </w:rPr>
        <w:t>预</w:t>
      </w:r>
      <w:r>
        <w:rPr>
          <w:rFonts w:ascii="宋体" w:hAnsi="宋体"/>
          <w:color w:val="auto"/>
          <w:spacing w:val="-3"/>
          <w:sz w:val="21"/>
          <w:szCs w:val="21"/>
          <w:highlight w:val="none"/>
          <w:lang w:eastAsia="en-US"/>
        </w:rPr>
        <w:t>付</w:t>
      </w:r>
      <w:r>
        <w:rPr>
          <w:rFonts w:ascii="宋体" w:hAnsi="宋体"/>
          <w:color w:val="auto"/>
          <w:sz w:val="21"/>
          <w:szCs w:val="21"/>
          <w:highlight w:val="none"/>
          <w:lang w:eastAsia="en-US"/>
        </w:rPr>
        <w:t>款</w:t>
      </w:r>
      <w:r>
        <w:rPr>
          <w:rFonts w:ascii="宋体" w:hAnsi="宋体"/>
          <w:color w:val="auto"/>
          <w:spacing w:val="-3"/>
          <w:sz w:val="21"/>
          <w:szCs w:val="21"/>
          <w:highlight w:val="none"/>
          <w:lang w:eastAsia="en-US"/>
        </w:rPr>
        <w:t>额</w:t>
      </w:r>
      <w:r>
        <w:rPr>
          <w:rFonts w:ascii="宋体" w:hAnsi="宋体"/>
          <w:color w:val="auto"/>
          <w:sz w:val="21"/>
          <w:szCs w:val="21"/>
          <w:highlight w:val="none"/>
          <w:lang w:eastAsia="en-US"/>
        </w:rPr>
        <w:t>度</w:t>
      </w:r>
    </w:p>
    <w:p>
      <w:pPr>
        <w:tabs>
          <w:tab w:val="left" w:pos="7825"/>
          <w:tab w:val="left" w:pos="8453"/>
        </w:tabs>
        <w:adjustRightInd/>
        <w:spacing w:before="98" w:line="316" w:lineRule="auto"/>
        <w:ind w:left="789" w:right="170" w:firstLine="0" w:firstLineChars="0"/>
        <w:jc w:val="right"/>
        <w:textAlignment w:val="auto"/>
        <w:rPr>
          <w:rFonts w:ascii="宋体" w:hAnsi="宋体"/>
          <w:color w:val="auto"/>
          <w:sz w:val="21"/>
          <w:szCs w:val="21"/>
          <w:highlight w:val="none"/>
        </w:rPr>
      </w:pPr>
      <w:r>
        <w:rPr>
          <w:rFonts w:ascii="宋体" w:hAnsi="宋体"/>
          <w:color w:val="auto"/>
          <w:sz w:val="21"/>
          <w:szCs w:val="21"/>
          <w:highlight w:val="none"/>
        </w:rPr>
        <w:t>预付</w:t>
      </w:r>
      <w:r>
        <w:rPr>
          <w:rFonts w:ascii="宋体" w:hAnsi="宋体"/>
          <w:color w:val="auto"/>
          <w:spacing w:val="-3"/>
          <w:sz w:val="21"/>
          <w:szCs w:val="21"/>
          <w:highlight w:val="none"/>
        </w:rPr>
        <w:t>款</w:t>
      </w:r>
      <w:r>
        <w:rPr>
          <w:rFonts w:ascii="宋体" w:hAnsi="宋体"/>
          <w:color w:val="auto"/>
          <w:sz w:val="21"/>
          <w:szCs w:val="21"/>
          <w:highlight w:val="none"/>
        </w:rPr>
        <w:t>额</w:t>
      </w:r>
      <w:r>
        <w:rPr>
          <w:rFonts w:ascii="宋体" w:hAnsi="宋体"/>
          <w:color w:val="auto"/>
          <w:spacing w:val="-3"/>
          <w:sz w:val="21"/>
          <w:szCs w:val="21"/>
          <w:highlight w:val="none"/>
        </w:rPr>
        <w:t>度</w:t>
      </w:r>
      <w:r>
        <w:rPr>
          <w:rFonts w:ascii="宋体" w:hAnsi="宋体"/>
          <w:color w:val="auto"/>
          <w:spacing w:val="-1"/>
          <w:sz w:val="21"/>
          <w:szCs w:val="21"/>
          <w:highlight w:val="none"/>
        </w:rPr>
        <w:t>：</w:t>
      </w:r>
      <w:r>
        <w:rPr>
          <w:rFonts w:hint="eastAsia" w:ascii="宋体" w:hAnsi="宋体"/>
          <w:color w:val="auto"/>
          <w:sz w:val="21"/>
          <w:szCs w:val="21"/>
          <w:highlight w:val="none"/>
          <w:u w:val="single"/>
        </w:rPr>
        <w:t>签约合同价（不含暂列金额）的30%。</w:t>
      </w:r>
      <w:r>
        <w:rPr>
          <w:rFonts w:ascii="宋体" w:hAnsi="宋体"/>
          <w:color w:val="auto"/>
          <w:sz w:val="21"/>
          <w:szCs w:val="21"/>
          <w:highlight w:val="none"/>
          <w:u w:val="single" w:color="000000"/>
        </w:rPr>
        <w:tab/>
      </w:r>
      <w:r>
        <w:rPr>
          <w:rFonts w:ascii="宋体" w:hAnsi="宋体"/>
          <w:color w:val="auto"/>
          <w:sz w:val="21"/>
          <w:szCs w:val="21"/>
          <w:highlight w:val="none"/>
          <w:u w:val="single" w:color="000000"/>
        </w:rPr>
        <w:tab/>
      </w:r>
    </w:p>
    <w:p>
      <w:pPr>
        <w:tabs>
          <w:tab w:val="left" w:pos="7825"/>
          <w:tab w:val="left" w:pos="8453"/>
        </w:tabs>
        <w:adjustRightInd/>
        <w:spacing w:before="98" w:line="316" w:lineRule="auto"/>
        <w:ind w:left="789" w:right="170" w:firstLine="0" w:firstLineChars="0"/>
        <w:jc w:val="right"/>
        <w:textAlignment w:val="auto"/>
        <w:rPr>
          <w:rFonts w:ascii="宋体" w:hAnsi="宋体"/>
          <w:color w:val="auto"/>
          <w:sz w:val="21"/>
          <w:szCs w:val="21"/>
          <w:highlight w:val="none"/>
        </w:rPr>
      </w:pPr>
      <w:r>
        <w:rPr>
          <w:rFonts w:ascii="宋体" w:hAnsi="宋体"/>
          <w:color w:val="auto"/>
          <w:sz w:val="21"/>
          <w:szCs w:val="21"/>
          <w:highlight w:val="none"/>
        </w:rPr>
        <w:t>其中</w:t>
      </w:r>
      <w:r>
        <w:rPr>
          <w:rFonts w:ascii="宋体" w:hAnsi="宋体"/>
          <w:color w:val="auto"/>
          <w:spacing w:val="-3"/>
          <w:sz w:val="21"/>
          <w:szCs w:val="21"/>
          <w:highlight w:val="none"/>
        </w:rPr>
        <w:t>：</w:t>
      </w:r>
      <w:r>
        <w:rPr>
          <w:rFonts w:ascii="宋体" w:hAnsi="宋体"/>
          <w:color w:val="auto"/>
          <w:sz w:val="21"/>
          <w:szCs w:val="21"/>
          <w:highlight w:val="none"/>
        </w:rPr>
        <w:t>安</w:t>
      </w:r>
      <w:r>
        <w:rPr>
          <w:rFonts w:ascii="宋体" w:hAnsi="宋体"/>
          <w:color w:val="auto"/>
          <w:spacing w:val="-3"/>
          <w:sz w:val="21"/>
          <w:szCs w:val="21"/>
          <w:highlight w:val="none"/>
        </w:rPr>
        <w:t>全</w:t>
      </w:r>
      <w:r>
        <w:rPr>
          <w:rFonts w:ascii="宋体" w:hAnsi="宋体"/>
          <w:color w:val="auto"/>
          <w:sz w:val="21"/>
          <w:szCs w:val="21"/>
          <w:highlight w:val="none"/>
        </w:rPr>
        <w:t>文</w:t>
      </w:r>
      <w:r>
        <w:rPr>
          <w:rFonts w:ascii="宋体" w:hAnsi="宋体"/>
          <w:color w:val="auto"/>
          <w:spacing w:val="-3"/>
          <w:sz w:val="21"/>
          <w:szCs w:val="21"/>
          <w:highlight w:val="none"/>
        </w:rPr>
        <w:t>明</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费</w:t>
      </w:r>
      <w:r>
        <w:rPr>
          <w:rFonts w:ascii="宋体" w:hAnsi="宋体"/>
          <w:color w:val="auto"/>
          <w:spacing w:val="-3"/>
          <w:sz w:val="21"/>
          <w:szCs w:val="21"/>
          <w:highlight w:val="none"/>
        </w:rPr>
        <w:t>用</w:t>
      </w:r>
      <w:r>
        <w:rPr>
          <w:rFonts w:ascii="宋体" w:hAnsi="宋体"/>
          <w:color w:val="auto"/>
          <w:sz w:val="21"/>
          <w:szCs w:val="21"/>
          <w:highlight w:val="none"/>
        </w:rPr>
        <w:t>预付</w:t>
      </w:r>
      <w:r>
        <w:rPr>
          <w:rFonts w:ascii="宋体" w:hAnsi="宋体"/>
          <w:color w:val="auto"/>
          <w:spacing w:val="-3"/>
          <w:sz w:val="21"/>
          <w:szCs w:val="21"/>
          <w:highlight w:val="none"/>
        </w:rPr>
        <w:t>额</w:t>
      </w:r>
      <w:r>
        <w:rPr>
          <w:rFonts w:ascii="宋体" w:hAnsi="宋体"/>
          <w:color w:val="auto"/>
          <w:sz w:val="21"/>
          <w:szCs w:val="21"/>
          <w:highlight w:val="none"/>
        </w:rPr>
        <w:t>度</w:t>
      </w:r>
      <w:r>
        <w:rPr>
          <w:rFonts w:ascii="宋体" w:hAnsi="宋体"/>
          <w:color w:val="auto"/>
          <w:spacing w:val="-3"/>
          <w:sz w:val="21"/>
          <w:szCs w:val="21"/>
          <w:highlight w:val="none"/>
        </w:rPr>
        <w:t>：</w:t>
      </w:r>
      <w:r>
        <w:rPr>
          <w:rFonts w:hint="eastAsia" w:ascii="宋体" w:hAnsi="宋体"/>
          <w:color w:val="auto"/>
          <w:sz w:val="21"/>
          <w:szCs w:val="21"/>
          <w:highlight w:val="none"/>
          <w:u w:val="single"/>
        </w:rPr>
        <w:t xml:space="preserve">该项费用总额的100% </w:t>
      </w:r>
      <w:r>
        <w:rPr>
          <w:rFonts w:ascii="宋体" w:hAnsi="宋体"/>
          <w:color w:val="auto"/>
          <w:sz w:val="21"/>
          <w:szCs w:val="21"/>
          <w:highlight w:val="none"/>
          <w:u w:val="single" w:color="000000"/>
        </w:rPr>
        <w:tab/>
      </w:r>
      <w:r>
        <w:rPr>
          <w:rFonts w:ascii="宋体" w:hAnsi="宋体"/>
          <w:color w:val="auto"/>
          <w:sz w:val="21"/>
          <w:szCs w:val="21"/>
          <w:highlight w:val="none"/>
          <w:u w:val="single" w:color="000000"/>
        </w:rPr>
        <w:tab/>
      </w:r>
    </w:p>
    <w:p>
      <w:pPr>
        <w:tabs>
          <w:tab w:val="left" w:pos="7825"/>
          <w:tab w:val="left" w:pos="8453"/>
        </w:tabs>
        <w:adjustRightInd/>
        <w:spacing w:before="98" w:line="316" w:lineRule="auto"/>
        <w:ind w:left="789" w:right="170" w:firstLine="0" w:firstLineChars="0"/>
        <w:jc w:val="right"/>
        <w:textAlignment w:val="auto"/>
        <w:rPr>
          <w:rFonts w:ascii="宋体" w:hAnsi="宋体"/>
          <w:color w:val="auto"/>
          <w:sz w:val="21"/>
          <w:szCs w:val="21"/>
          <w:highlight w:val="none"/>
          <w:u w:val="single" w:color="000000"/>
        </w:rPr>
      </w:pPr>
      <w:r>
        <w:rPr>
          <w:rFonts w:ascii="宋体" w:hAnsi="宋体"/>
          <w:color w:val="auto"/>
          <w:sz w:val="21"/>
          <w:szCs w:val="21"/>
          <w:highlight w:val="none"/>
        </w:rPr>
        <w:t>其他</w:t>
      </w:r>
      <w:r>
        <w:rPr>
          <w:rFonts w:ascii="宋体" w:hAnsi="宋体"/>
          <w:color w:val="auto"/>
          <w:spacing w:val="-3"/>
          <w:sz w:val="21"/>
          <w:szCs w:val="21"/>
          <w:highlight w:val="none"/>
        </w:rPr>
        <w:t>预</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额</w:t>
      </w:r>
      <w:r>
        <w:rPr>
          <w:rFonts w:ascii="宋体" w:hAnsi="宋体"/>
          <w:color w:val="auto"/>
          <w:spacing w:val="-3"/>
          <w:sz w:val="21"/>
          <w:szCs w:val="21"/>
          <w:highlight w:val="none"/>
        </w:rPr>
        <w:t>度</w:t>
      </w:r>
      <w:r>
        <w:rPr>
          <w:rFonts w:ascii="宋体" w:hAnsi="宋体"/>
          <w:color w:val="auto"/>
          <w:sz w:val="21"/>
          <w:szCs w:val="21"/>
          <w:highlight w:val="none"/>
        </w:rPr>
        <w:t>：</w:t>
      </w:r>
      <w:r>
        <w:rPr>
          <w:rFonts w:hint="eastAsia" w:ascii="宋体" w:hAnsi="宋体"/>
          <w:color w:val="auto"/>
          <w:sz w:val="21"/>
          <w:szCs w:val="21"/>
          <w:highlight w:val="none"/>
          <w:u w:val="single"/>
        </w:rPr>
        <w:t>措施项目部分预付款额度：扣除安全文明施工费后的措施项目部分的30%</w:t>
      </w:r>
      <w:r>
        <w:rPr>
          <w:rFonts w:ascii="宋体" w:hAnsi="宋体"/>
          <w:color w:val="auto"/>
          <w:sz w:val="21"/>
          <w:szCs w:val="21"/>
          <w:highlight w:val="none"/>
          <w:u w:val="single" w:color="000000"/>
        </w:rPr>
        <w:tab/>
      </w:r>
    </w:p>
    <w:p>
      <w:pPr>
        <w:adjustRightInd/>
        <w:spacing w:before="34" w:line="240" w:lineRule="auto"/>
        <w:ind w:firstLine="630" w:firstLineChars="300"/>
        <w:textAlignment w:val="auto"/>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预</w:t>
      </w:r>
      <w:r>
        <w:rPr>
          <w:rFonts w:ascii="宋体" w:hAnsi="宋体"/>
          <w:color w:val="auto"/>
          <w:spacing w:val="-3"/>
          <w:sz w:val="21"/>
          <w:szCs w:val="21"/>
          <w:highlight w:val="none"/>
        </w:rPr>
        <w:t>付</w:t>
      </w:r>
      <w:r>
        <w:rPr>
          <w:rFonts w:ascii="宋体" w:hAnsi="宋体"/>
          <w:color w:val="auto"/>
          <w:sz w:val="21"/>
          <w:szCs w:val="21"/>
          <w:highlight w:val="none"/>
        </w:rPr>
        <w:t>办法</w:t>
      </w:r>
    </w:p>
    <w:p>
      <w:pPr>
        <w:adjustRightInd/>
        <w:spacing w:line="400" w:lineRule="exact"/>
        <w:ind w:left="1298"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预付款预付办法：</w:t>
      </w:r>
      <w:r>
        <w:rPr>
          <w:rFonts w:hint="eastAsia" w:ascii="宋体" w:hAnsi="宋体"/>
          <w:color w:val="auto"/>
          <w:sz w:val="21"/>
          <w:szCs w:val="21"/>
          <w:highlight w:val="none"/>
          <w:u w:val="single"/>
        </w:rPr>
        <w:t>在收到承包人提交的预付款保函和正式发票后，发包人一次性向承包人支付预付款</w:t>
      </w:r>
      <w:r>
        <w:rPr>
          <w:rFonts w:hint="eastAsia" w:ascii="宋体" w:hAnsi="宋体"/>
          <w:color w:val="auto"/>
          <w:sz w:val="21"/>
          <w:szCs w:val="21"/>
          <w:highlight w:val="none"/>
        </w:rPr>
        <w:t xml:space="preserve">。                                                          </w:t>
      </w:r>
    </w:p>
    <w:p>
      <w:pPr>
        <w:adjustRightInd/>
        <w:spacing w:line="400" w:lineRule="exact"/>
        <w:ind w:left="1298" w:firstLine="0" w:firstLineChars="0"/>
        <w:textAlignment w:val="auto"/>
        <w:rPr>
          <w:rFonts w:ascii="宋体" w:hAnsi="宋体"/>
          <w:color w:val="auto"/>
          <w:sz w:val="21"/>
          <w:szCs w:val="21"/>
          <w:highlight w:val="none"/>
        </w:rPr>
      </w:pPr>
      <w:r>
        <w:rPr>
          <w:rFonts w:hint="eastAsia" w:ascii="宋体" w:hAnsi="宋体"/>
          <w:color w:val="auto"/>
          <w:sz w:val="21"/>
          <w:szCs w:val="21"/>
          <w:highlight w:val="none"/>
        </w:rPr>
        <w:t>预付款的支付时间：</w:t>
      </w:r>
      <w:r>
        <w:rPr>
          <w:rFonts w:hint="eastAsia" w:ascii="宋体" w:hAnsi="宋体" w:cs="宋体"/>
          <w:color w:val="auto"/>
          <w:sz w:val="21"/>
          <w:szCs w:val="21"/>
          <w:highlight w:val="none"/>
          <w:u w:val="single"/>
        </w:rPr>
        <w:t>在合同签订后的30天内，不迟于约定的开工日期前7日天内</w:t>
      </w:r>
      <w:r>
        <w:rPr>
          <w:rFonts w:hint="eastAsia" w:ascii="宋体" w:hAnsi="宋体"/>
          <w:color w:val="auto"/>
          <w:sz w:val="21"/>
          <w:szCs w:val="21"/>
          <w:highlight w:val="none"/>
        </w:rPr>
        <w:t>。</w:t>
      </w:r>
    </w:p>
    <w:p>
      <w:pPr>
        <w:tabs>
          <w:tab w:val="left" w:pos="1420"/>
        </w:tabs>
        <w:adjustRightInd/>
        <w:spacing w:before="32" w:line="240" w:lineRule="auto"/>
        <w:ind w:left="578" w:firstLine="0" w:firstLineChars="0"/>
        <w:textAlignment w:val="auto"/>
        <w:rPr>
          <w:rFonts w:ascii="宋体" w:hAnsi="宋体" w:cs="宋体"/>
          <w:color w:val="auto"/>
          <w:sz w:val="21"/>
          <w:szCs w:val="21"/>
          <w:highlight w:val="none"/>
        </w:rPr>
      </w:pPr>
    </w:p>
    <w:p>
      <w:pPr>
        <w:tabs>
          <w:tab w:val="left" w:pos="1420"/>
        </w:tabs>
        <w:adjustRightInd/>
        <w:spacing w:before="32"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17.2.2</w:t>
      </w:r>
      <w:r>
        <w:rPr>
          <w:rFonts w:ascii="宋体" w:hAnsi="宋体" w:cs="宋体"/>
          <w:color w:val="auto"/>
          <w:sz w:val="21"/>
          <w:szCs w:val="21"/>
          <w:highlight w:val="none"/>
        </w:rPr>
        <w:tab/>
      </w:r>
      <w:r>
        <w:rPr>
          <w:rFonts w:ascii="宋体" w:hAnsi="宋体"/>
          <w:color w:val="auto"/>
          <w:spacing w:val="-3"/>
          <w:sz w:val="21"/>
          <w:szCs w:val="21"/>
          <w:highlight w:val="none"/>
        </w:rPr>
        <w:t>预</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的</w:t>
      </w:r>
      <w:r>
        <w:rPr>
          <w:rFonts w:ascii="宋体" w:hAnsi="宋体"/>
          <w:color w:val="auto"/>
          <w:spacing w:val="-3"/>
          <w:sz w:val="21"/>
          <w:szCs w:val="21"/>
          <w:highlight w:val="none"/>
        </w:rPr>
        <w:t>扣</w:t>
      </w:r>
      <w:r>
        <w:rPr>
          <w:rFonts w:ascii="宋体" w:hAnsi="宋体"/>
          <w:color w:val="auto"/>
          <w:sz w:val="21"/>
          <w:szCs w:val="21"/>
          <w:highlight w:val="none"/>
        </w:rPr>
        <w:t>回</w:t>
      </w:r>
      <w:r>
        <w:rPr>
          <w:rFonts w:ascii="宋体" w:hAnsi="宋体"/>
          <w:color w:val="auto"/>
          <w:spacing w:val="-3"/>
          <w:sz w:val="21"/>
          <w:szCs w:val="21"/>
          <w:highlight w:val="none"/>
        </w:rPr>
        <w:t>与</w:t>
      </w:r>
      <w:r>
        <w:rPr>
          <w:rFonts w:ascii="宋体" w:hAnsi="宋体"/>
          <w:color w:val="auto"/>
          <w:sz w:val="21"/>
          <w:szCs w:val="21"/>
          <w:highlight w:val="none"/>
        </w:rPr>
        <w:t>还清</w:t>
      </w:r>
    </w:p>
    <w:p>
      <w:pPr>
        <w:adjustRightInd/>
        <w:spacing w:before="6" w:line="200" w:lineRule="exact"/>
        <w:ind w:firstLine="0" w:firstLineChars="0"/>
        <w:textAlignment w:val="auto"/>
        <w:rPr>
          <w:rFonts w:ascii="Calibri" w:hAnsi="Calibri"/>
          <w:color w:val="auto"/>
          <w:sz w:val="20"/>
          <w:highlight w:val="none"/>
        </w:rPr>
      </w:pPr>
    </w:p>
    <w:p>
      <w:pPr>
        <w:adjustRightInd/>
        <w:spacing w:line="400" w:lineRule="exact"/>
        <w:ind w:firstLine="420"/>
        <w:textAlignment w:val="auto"/>
        <w:rPr>
          <w:rFonts w:ascii="宋体" w:hAnsi="宋体"/>
          <w:color w:val="auto"/>
          <w:sz w:val="21"/>
          <w:szCs w:val="21"/>
          <w:highlight w:val="none"/>
          <w:u w:val="single"/>
        </w:rPr>
      </w:pPr>
      <w:r>
        <w:rPr>
          <w:rFonts w:ascii="Calibri" w:hAnsi="Calibri"/>
          <w:color w:val="auto"/>
          <w:sz w:val="21"/>
          <w:szCs w:val="21"/>
          <w:highlight w:val="none"/>
        </w:rPr>
        <w:t>预付</w:t>
      </w:r>
      <w:r>
        <w:rPr>
          <w:rFonts w:ascii="Calibri" w:hAnsi="Calibri"/>
          <w:color w:val="auto"/>
          <w:spacing w:val="-3"/>
          <w:sz w:val="21"/>
          <w:szCs w:val="21"/>
          <w:highlight w:val="none"/>
        </w:rPr>
        <w:t>款</w:t>
      </w:r>
      <w:r>
        <w:rPr>
          <w:rFonts w:ascii="Calibri" w:hAnsi="Calibri"/>
          <w:color w:val="auto"/>
          <w:sz w:val="21"/>
          <w:szCs w:val="21"/>
          <w:highlight w:val="none"/>
        </w:rPr>
        <w:t>的</w:t>
      </w:r>
      <w:r>
        <w:rPr>
          <w:rFonts w:ascii="Calibri" w:hAnsi="Calibri"/>
          <w:color w:val="auto"/>
          <w:spacing w:val="-3"/>
          <w:sz w:val="21"/>
          <w:szCs w:val="21"/>
          <w:highlight w:val="none"/>
        </w:rPr>
        <w:t>扣</w:t>
      </w:r>
      <w:r>
        <w:rPr>
          <w:rFonts w:ascii="Calibri" w:hAnsi="Calibri"/>
          <w:color w:val="auto"/>
          <w:sz w:val="21"/>
          <w:szCs w:val="21"/>
          <w:highlight w:val="none"/>
        </w:rPr>
        <w:t>回</w:t>
      </w:r>
      <w:r>
        <w:rPr>
          <w:rFonts w:ascii="Calibri" w:hAnsi="Calibri"/>
          <w:color w:val="auto"/>
          <w:spacing w:val="-3"/>
          <w:sz w:val="21"/>
          <w:szCs w:val="21"/>
          <w:highlight w:val="none"/>
        </w:rPr>
        <w:t>办</w:t>
      </w:r>
      <w:r>
        <w:rPr>
          <w:rFonts w:ascii="Calibri" w:hAnsi="Calibri"/>
          <w:color w:val="auto"/>
          <w:sz w:val="21"/>
          <w:szCs w:val="21"/>
          <w:highlight w:val="none"/>
        </w:rPr>
        <w:t>法</w:t>
      </w:r>
      <w:r>
        <w:rPr>
          <w:rFonts w:ascii="Calibri" w:hAnsi="Calibri"/>
          <w:color w:val="auto"/>
          <w:spacing w:val="-3"/>
          <w:sz w:val="21"/>
          <w:szCs w:val="21"/>
          <w:highlight w:val="none"/>
        </w:rPr>
        <w:t>：</w:t>
      </w:r>
      <w:r>
        <w:rPr>
          <w:rFonts w:hint="eastAsia" w:ascii="宋体" w:hAnsi="宋体"/>
          <w:color w:val="auto"/>
          <w:sz w:val="21"/>
          <w:szCs w:val="21"/>
          <w:highlight w:val="none"/>
          <w:u w:val="single"/>
        </w:rPr>
        <w:t>在支付第一笔进度款时扣回预付款。</w:t>
      </w:r>
    </w:p>
    <w:p>
      <w:pPr>
        <w:tabs>
          <w:tab w:val="left" w:pos="719"/>
        </w:tabs>
        <w:adjustRightInd/>
        <w:spacing w:before="92" w:line="240" w:lineRule="auto"/>
        <w:ind w:right="6150" w:firstLine="0" w:firstLineChars="0"/>
        <w:jc w:val="center"/>
        <w:textAlignment w:val="auto"/>
        <w:rPr>
          <w:rFonts w:ascii="宋体" w:hAnsi="宋体" w:cs="宋体"/>
          <w:color w:val="auto"/>
          <w:szCs w:val="24"/>
          <w:highlight w:val="none"/>
        </w:rPr>
      </w:pPr>
      <w:bookmarkStart w:id="816" w:name="_bookmark153"/>
      <w:bookmarkEnd w:id="816"/>
      <w:r>
        <w:rPr>
          <w:rFonts w:ascii="宋体" w:hAnsi="宋体" w:cs="宋体"/>
          <w:color w:val="auto"/>
          <w:szCs w:val="24"/>
          <w:highlight w:val="none"/>
        </w:rPr>
        <w:t>17.3</w:t>
      </w:r>
      <w:r>
        <w:rPr>
          <w:rFonts w:ascii="宋体" w:hAnsi="宋体" w:cs="宋体"/>
          <w:color w:val="auto"/>
          <w:szCs w:val="24"/>
          <w:highlight w:val="none"/>
        </w:rPr>
        <w:tab/>
      </w:r>
      <w:r>
        <w:rPr>
          <w:rFonts w:ascii="宋体" w:hAnsi="宋体" w:cs="宋体"/>
          <w:color w:val="auto"/>
          <w:szCs w:val="24"/>
          <w:highlight w:val="none"/>
        </w:rPr>
        <w:t>工程进度付款</w:t>
      </w:r>
    </w:p>
    <w:p>
      <w:pPr>
        <w:adjustRightInd/>
        <w:spacing w:before="5" w:line="240" w:lineRule="exact"/>
        <w:ind w:firstLine="0" w:firstLineChars="0"/>
        <w:textAlignment w:val="auto"/>
        <w:rPr>
          <w:rFonts w:ascii="Calibri" w:hAnsi="Calibri"/>
          <w:color w:val="auto"/>
          <w:szCs w:val="24"/>
          <w:highlight w:val="none"/>
        </w:rPr>
      </w:pPr>
    </w:p>
    <w:p>
      <w:pPr>
        <w:tabs>
          <w:tab w:val="left" w:pos="142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17.3.2</w:t>
      </w:r>
      <w:r>
        <w:rPr>
          <w:rFonts w:ascii="宋体" w:hAnsi="宋体" w:cs="宋体"/>
          <w:color w:val="auto"/>
          <w:sz w:val="21"/>
          <w:szCs w:val="21"/>
          <w:highlight w:val="none"/>
        </w:rPr>
        <w:tab/>
      </w:r>
      <w:r>
        <w:rPr>
          <w:rFonts w:ascii="宋体" w:hAnsi="宋体"/>
          <w:color w:val="auto"/>
          <w:spacing w:val="-3"/>
          <w:sz w:val="21"/>
          <w:szCs w:val="21"/>
          <w:highlight w:val="none"/>
        </w:rPr>
        <w:t>进</w:t>
      </w:r>
      <w:r>
        <w:rPr>
          <w:rFonts w:ascii="宋体" w:hAnsi="宋体"/>
          <w:color w:val="auto"/>
          <w:sz w:val="21"/>
          <w:szCs w:val="21"/>
          <w:highlight w:val="none"/>
        </w:rPr>
        <w:t>度</w:t>
      </w:r>
      <w:r>
        <w:rPr>
          <w:rFonts w:ascii="宋体" w:hAnsi="宋体"/>
          <w:color w:val="auto"/>
          <w:spacing w:val="-3"/>
          <w:sz w:val="21"/>
          <w:szCs w:val="21"/>
          <w:highlight w:val="none"/>
        </w:rPr>
        <w:t>付</w:t>
      </w:r>
      <w:r>
        <w:rPr>
          <w:rFonts w:ascii="宋体" w:hAnsi="宋体"/>
          <w:color w:val="auto"/>
          <w:sz w:val="21"/>
          <w:szCs w:val="21"/>
          <w:highlight w:val="none"/>
        </w:rPr>
        <w:t>款</w:t>
      </w:r>
      <w:r>
        <w:rPr>
          <w:rFonts w:ascii="宋体" w:hAnsi="宋体"/>
          <w:color w:val="auto"/>
          <w:spacing w:val="-3"/>
          <w:sz w:val="21"/>
          <w:szCs w:val="21"/>
          <w:highlight w:val="none"/>
        </w:rPr>
        <w:t>申</w:t>
      </w:r>
      <w:r>
        <w:rPr>
          <w:rFonts w:ascii="宋体" w:hAnsi="宋体"/>
          <w:color w:val="auto"/>
          <w:sz w:val="21"/>
          <w:szCs w:val="21"/>
          <w:highlight w:val="none"/>
        </w:rPr>
        <w:t>请单</w:t>
      </w:r>
    </w:p>
    <w:p>
      <w:pPr>
        <w:tabs>
          <w:tab w:val="left" w:pos="8453"/>
        </w:tabs>
        <w:adjustRightInd/>
        <w:spacing w:before="98" w:line="316" w:lineRule="auto"/>
        <w:ind w:left="578" w:right="172" w:firstLine="0" w:firstLineChars="0"/>
        <w:textAlignment w:val="auto"/>
        <w:rPr>
          <w:rFonts w:ascii="宋体" w:hAnsi="宋体"/>
          <w:color w:val="auto"/>
          <w:sz w:val="21"/>
          <w:szCs w:val="21"/>
          <w:highlight w:val="none"/>
        </w:rPr>
      </w:pPr>
      <w:r>
        <w:rPr>
          <w:rFonts w:ascii="宋体" w:hAnsi="宋体"/>
          <w:color w:val="auto"/>
          <w:sz w:val="21"/>
          <w:szCs w:val="21"/>
          <w:highlight w:val="none"/>
        </w:rPr>
        <w:t>进度</w:t>
      </w:r>
      <w:r>
        <w:rPr>
          <w:rFonts w:ascii="宋体" w:hAnsi="宋体"/>
          <w:color w:val="auto"/>
          <w:spacing w:val="-3"/>
          <w:sz w:val="21"/>
          <w:szCs w:val="21"/>
          <w:highlight w:val="none"/>
        </w:rPr>
        <w:t>付</w:t>
      </w:r>
      <w:r>
        <w:rPr>
          <w:rFonts w:ascii="宋体" w:hAnsi="宋体"/>
          <w:color w:val="auto"/>
          <w:sz w:val="21"/>
          <w:szCs w:val="21"/>
          <w:highlight w:val="none"/>
        </w:rPr>
        <w:t>款</w:t>
      </w:r>
      <w:r>
        <w:rPr>
          <w:rFonts w:ascii="宋体" w:hAnsi="宋体"/>
          <w:color w:val="auto"/>
          <w:spacing w:val="-3"/>
          <w:sz w:val="21"/>
          <w:szCs w:val="21"/>
          <w:highlight w:val="none"/>
        </w:rPr>
        <w:t>申</w:t>
      </w:r>
      <w:r>
        <w:rPr>
          <w:rFonts w:ascii="宋体" w:hAnsi="宋体"/>
          <w:color w:val="auto"/>
          <w:sz w:val="21"/>
          <w:szCs w:val="21"/>
          <w:highlight w:val="none"/>
        </w:rPr>
        <w:t>请</w:t>
      </w:r>
      <w:r>
        <w:rPr>
          <w:rFonts w:ascii="宋体" w:hAnsi="宋体"/>
          <w:color w:val="auto"/>
          <w:spacing w:val="-3"/>
          <w:sz w:val="21"/>
          <w:szCs w:val="21"/>
          <w:highlight w:val="none"/>
        </w:rPr>
        <w:t>单</w:t>
      </w:r>
      <w:r>
        <w:rPr>
          <w:rFonts w:ascii="宋体" w:hAnsi="宋体"/>
          <w:color w:val="auto"/>
          <w:sz w:val="21"/>
          <w:szCs w:val="21"/>
          <w:highlight w:val="none"/>
        </w:rPr>
        <w:t>的</w:t>
      </w:r>
      <w:r>
        <w:rPr>
          <w:rFonts w:ascii="宋体" w:hAnsi="宋体"/>
          <w:color w:val="auto"/>
          <w:spacing w:val="-3"/>
          <w:sz w:val="21"/>
          <w:szCs w:val="21"/>
          <w:highlight w:val="none"/>
        </w:rPr>
        <w:t>份</w:t>
      </w:r>
      <w:r>
        <w:rPr>
          <w:rFonts w:ascii="宋体" w:hAnsi="宋体"/>
          <w:color w:val="auto"/>
          <w:sz w:val="21"/>
          <w:szCs w:val="21"/>
          <w:highlight w:val="none"/>
        </w:rPr>
        <w:t>数</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5份</w:t>
      </w:r>
      <w:r>
        <w:rPr>
          <w:rFonts w:ascii="宋体" w:hAnsi="宋体"/>
          <w:color w:val="auto"/>
          <w:sz w:val="21"/>
          <w:szCs w:val="21"/>
          <w:highlight w:val="none"/>
          <w:u w:val="single" w:color="000000"/>
        </w:rPr>
        <w:tab/>
      </w:r>
    </w:p>
    <w:p>
      <w:pPr>
        <w:tabs>
          <w:tab w:val="left" w:pos="8453"/>
        </w:tabs>
        <w:adjustRightInd/>
        <w:spacing w:before="98" w:line="316" w:lineRule="auto"/>
        <w:ind w:left="578" w:right="172"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报</w:t>
      </w:r>
      <w:r>
        <w:rPr>
          <w:rFonts w:ascii="宋体" w:hAnsi="宋体"/>
          <w:color w:val="auto"/>
          <w:spacing w:val="-3"/>
          <w:sz w:val="21"/>
          <w:szCs w:val="21"/>
          <w:highlight w:val="none"/>
        </w:rPr>
        <w:t>送</w:t>
      </w:r>
      <w:r>
        <w:rPr>
          <w:rFonts w:ascii="宋体" w:hAnsi="宋体"/>
          <w:color w:val="auto"/>
          <w:sz w:val="21"/>
          <w:szCs w:val="21"/>
          <w:highlight w:val="none"/>
        </w:rPr>
        <w:t>监</w:t>
      </w:r>
      <w:r>
        <w:rPr>
          <w:rFonts w:ascii="宋体" w:hAnsi="宋体"/>
          <w:color w:val="auto"/>
          <w:spacing w:val="-3"/>
          <w:sz w:val="21"/>
          <w:szCs w:val="21"/>
          <w:highlight w:val="none"/>
        </w:rPr>
        <w:t>理</w:t>
      </w:r>
      <w:r>
        <w:rPr>
          <w:rFonts w:ascii="宋体" w:hAnsi="宋体"/>
          <w:color w:val="auto"/>
          <w:sz w:val="21"/>
          <w:szCs w:val="21"/>
          <w:highlight w:val="none"/>
        </w:rPr>
        <w:t>人</w:t>
      </w:r>
      <w:r>
        <w:rPr>
          <w:rFonts w:ascii="宋体" w:hAnsi="宋体"/>
          <w:color w:val="auto"/>
          <w:spacing w:val="-3"/>
          <w:sz w:val="21"/>
          <w:szCs w:val="21"/>
          <w:highlight w:val="none"/>
        </w:rPr>
        <w:t>的</w:t>
      </w:r>
      <w:r>
        <w:rPr>
          <w:rFonts w:ascii="宋体" w:hAnsi="宋体"/>
          <w:color w:val="auto"/>
          <w:sz w:val="21"/>
          <w:szCs w:val="21"/>
          <w:highlight w:val="none"/>
        </w:rPr>
        <w:t>进</w:t>
      </w:r>
      <w:r>
        <w:rPr>
          <w:rFonts w:ascii="宋体" w:hAnsi="宋体"/>
          <w:color w:val="auto"/>
          <w:spacing w:val="-3"/>
          <w:sz w:val="21"/>
          <w:szCs w:val="21"/>
          <w:highlight w:val="none"/>
        </w:rPr>
        <w:t>度</w:t>
      </w:r>
      <w:r>
        <w:rPr>
          <w:rFonts w:ascii="宋体" w:hAnsi="宋体"/>
          <w:color w:val="auto"/>
          <w:sz w:val="21"/>
          <w:szCs w:val="21"/>
          <w:highlight w:val="none"/>
        </w:rPr>
        <w:t>付款</w:t>
      </w:r>
      <w:r>
        <w:rPr>
          <w:rFonts w:ascii="宋体" w:hAnsi="宋体"/>
          <w:color w:val="auto"/>
          <w:spacing w:val="-3"/>
          <w:sz w:val="21"/>
          <w:szCs w:val="21"/>
          <w:highlight w:val="none"/>
        </w:rPr>
        <w:t>申</w:t>
      </w:r>
      <w:r>
        <w:rPr>
          <w:rFonts w:ascii="宋体" w:hAnsi="宋体"/>
          <w:color w:val="auto"/>
          <w:sz w:val="21"/>
          <w:szCs w:val="21"/>
          <w:highlight w:val="none"/>
        </w:rPr>
        <w:t>请</w:t>
      </w:r>
      <w:r>
        <w:rPr>
          <w:rFonts w:ascii="宋体" w:hAnsi="宋体"/>
          <w:color w:val="auto"/>
          <w:spacing w:val="-3"/>
          <w:sz w:val="21"/>
          <w:szCs w:val="21"/>
          <w:highlight w:val="none"/>
        </w:rPr>
        <w:t>单</w:t>
      </w:r>
      <w:r>
        <w:rPr>
          <w:rFonts w:ascii="宋体" w:hAnsi="宋体"/>
          <w:color w:val="auto"/>
          <w:sz w:val="21"/>
          <w:szCs w:val="21"/>
          <w:highlight w:val="none"/>
        </w:rPr>
        <w:t>应</w:t>
      </w:r>
      <w:r>
        <w:rPr>
          <w:rFonts w:ascii="宋体" w:hAnsi="宋体"/>
          <w:color w:val="auto"/>
          <w:spacing w:val="-3"/>
          <w:sz w:val="21"/>
          <w:szCs w:val="21"/>
          <w:highlight w:val="none"/>
        </w:rPr>
        <w:t>包</w:t>
      </w:r>
      <w:r>
        <w:rPr>
          <w:rFonts w:ascii="宋体" w:hAnsi="宋体"/>
          <w:color w:val="auto"/>
          <w:sz w:val="21"/>
          <w:szCs w:val="21"/>
          <w:highlight w:val="none"/>
        </w:rPr>
        <w:t>括</w:t>
      </w:r>
      <w:r>
        <w:rPr>
          <w:rFonts w:ascii="宋体" w:hAnsi="宋体"/>
          <w:color w:val="auto"/>
          <w:spacing w:val="-3"/>
          <w:sz w:val="21"/>
          <w:szCs w:val="21"/>
          <w:highlight w:val="none"/>
        </w:rPr>
        <w:t>下</w:t>
      </w:r>
      <w:r>
        <w:rPr>
          <w:rFonts w:ascii="宋体" w:hAnsi="宋体"/>
          <w:color w:val="auto"/>
          <w:sz w:val="21"/>
          <w:szCs w:val="21"/>
          <w:highlight w:val="none"/>
        </w:rPr>
        <w:t>列</w:t>
      </w:r>
      <w:r>
        <w:rPr>
          <w:rFonts w:ascii="宋体" w:hAnsi="宋体"/>
          <w:color w:val="auto"/>
          <w:spacing w:val="-3"/>
          <w:sz w:val="21"/>
          <w:szCs w:val="21"/>
          <w:highlight w:val="none"/>
        </w:rPr>
        <w:t>内</w:t>
      </w:r>
      <w:r>
        <w:rPr>
          <w:rFonts w:ascii="宋体" w:hAnsi="宋体"/>
          <w:color w:val="auto"/>
          <w:sz w:val="21"/>
          <w:szCs w:val="21"/>
          <w:highlight w:val="none"/>
        </w:rPr>
        <w:t>容：</w:t>
      </w:r>
    </w:p>
    <w:p>
      <w:pPr>
        <w:tabs>
          <w:tab w:val="left" w:pos="8470"/>
        </w:tabs>
        <w:adjustRightInd/>
        <w:spacing w:before="31"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6</w:t>
      </w:r>
      <w:r>
        <w:rPr>
          <w:rFonts w:ascii="宋体" w:hAnsi="宋体"/>
          <w:color w:val="auto"/>
          <w:spacing w:val="-3"/>
          <w:sz w:val="21"/>
          <w:szCs w:val="21"/>
          <w:highlight w:val="none"/>
        </w:rPr>
        <w:t>）</w:t>
      </w:r>
      <w:r>
        <w:rPr>
          <w:rFonts w:ascii="宋体" w:hAnsi="宋体"/>
          <w:color w:val="auto"/>
          <w:sz w:val="21"/>
          <w:szCs w:val="21"/>
          <w:highlight w:val="none"/>
        </w:rPr>
        <w:t>根</w:t>
      </w:r>
      <w:r>
        <w:rPr>
          <w:rFonts w:ascii="宋体" w:hAnsi="宋体"/>
          <w:color w:val="auto"/>
          <w:spacing w:val="-3"/>
          <w:sz w:val="21"/>
          <w:szCs w:val="21"/>
          <w:highlight w:val="none"/>
        </w:rPr>
        <w:t>据</w:t>
      </w:r>
      <w:r>
        <w:rPr>
          <w:rFonts w:ascii="宋体" w:hAnsi="宋体"/>
          <w:color w:val="auto"/>
          <w:sz w:val="21"/>
          <w:szCs w:val="21"/>
          <w:highlight w:val="none"/>
        </w:rPr>
        <w:t>合</w:t>
      </w:r>
      <w:r>
        <w:rPr>
          <w:rFonts w:ascii="宋体" w:hAnsi="宋体"/>
          <w:color w:val="auto"/>
          <w:spacing w:val="-3"/>
          <w:sz w:val="21"/>
          <w:szCs w:val="21"/>
          <w:highlight w:val="none"/>
        </w:rPr>
        <w:t>同</w:t>
      </w:r>
      <w:r>
        <w:rPr>
          <w:rFonts w:ascii="宋体" w:hAnsi="宋体"/>
          <w:color w:val="auto"/>
          <w:sz w:val="21"/>
          <w:szCs w:val="21"/>
          <w:highlight w:val="none"/>
        </w:rPr>
        <w:t>应</w:t>
      </w:r>
      <w:r>
        <w:rPr>
          <w:rFonts w:ascii="宋体" w:hAnsi="宋体"/>
          <w:color w:val="auto"/>
          <w:spacing w:val="-3"/>
          <w:sz w:val="21"/>
          <w:szCs w:val="21"/>
          <w:highlight w:val="none"/>
        </w:rPr>
        <w:t>增</w:t>
      </w:r>
      <w:r>
        <w:rPr>
          <w:rFonts w:ascii="宋体" w:hAnsi="宋体"/>
          <w:color w:val="auto"/>
          <w:sz w:val="21"/>
          <w:szCs w:val="21"/>
          <w:highlight w:val="none"/>
        </w:rPr>
        <w:t>加</w:t>
      </w:r>
      <w:r>
        <w:rPr>
          <w:rFonts w:ascii="宋体" w:hAnsi="宋体"/>
          <w:color w:val="auto"/>
          <w:spacing w:val="-3"/>
          <w:sz w:val="21"/>
          <w:szCs w:val="21"/>
          <w:highlight w:val="none"/>
        </w:rPr>
        <w:t>和（</w:t>
      </w:r>
      <w:r>
        <w:rPr>
          <w:rFonts w:ascii="宋体" w:hAnsi="宋体"/>
          <w:color w:val="auto"/>
          <w:sz w:val="21"/>
          <w:szCs w:val="21"/>
          <w:highlight w:val="none"/>
        </w:rPr>
        <w:t>或）</w:t>
      </w:r>
      <w:r>
        <w:rPr>
          <w:rFonts w:ascii="宋体" w:hAnsi="宋体"/>
          <w:color w:val="auto"/>
          <w:spacing w:val="-3"/>
          <w:sz w:val="21"/>
          <w:szCs w:val="21"/>
          <w:highlight w:val="none"/>
        </w:rPr>
        <w:t>扣</w:t>
      </w:r>
      <w:r>
        <w:rPr>
          <w:rFonts w:ascii="宋体" w:hAnsi="宋体"/>
          <w:color w:val="auto"/>
          <w:sz w:val="21"/>
          <w:szCs w:val="21"/>
          <w:highlight w:val="none"/>
        </w:rPr>
        <w:t>减</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内</w:t>
      </w:r>
      <w:r>
        <w:rPr>
          <w:rFonts w:ascii="宋体" w:hAnsi="宋体"/>
          <w:color w:val="auto"/>
          <w:spacing w:val="-3"/>
          <w:sz w:val="21"/>
          <w:szCs w:val="21"/>
          <w:highlight w:val="none"/>
        </w:rPr>
        <w:t>容</w:t>
      </w:r>
      <w:r>
        <w:rPr>
          <w:rFonts w:ascii="宋体" w:hAnsi="宋体"/>
          <w:color w:val="auto"/>
          <w:sz w:val="21"/>
          <w:szCs w:val="21"/>
          <w:highlight w:val="none"/>
        </w:rPr>
        <w:t>金</w:t>
      </w:r>
      <w:r>
        <w:rPr>
          <w:rFonts w:ascii="宋体" w:hAnsi="宋体"/>
          <w:color w:val="auto"/>
          <w:spacing w:val="-3"/>
          <w:sz w:val="21"/>
          <w:szCs w:val="21"/>
          <w:highlight w:val="none"/>
        </w:rPr>
        <w:t>额</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7" w:line="100" w:lineRule="exact"/>
        <w:ind w:firstLine="0" w:firstLineChars="0"/>
        <w:textAlignment w:val="auto"/>
        <w:rPr>
          <w:rFonts w:ascii="Calibri" w:hAnsi="Calibri"/>
          <w:color w:val="auto"/>
          <w:sz w:val="10"/>
          <w:szCs w:val="10"/>
          <w:highlight w:val="none"/>
        </w:rPr>
      </w:pPr>
    </w:p>
    <w:p>
      <w:pPr>
        <w:adjustRightInd/>
        <w:spacing w:line="200" w:lineRule="exact"/>
        <w:ind w:firstLine="0" w:firstLineChars="0"/>
        <w:textAlignment w:val="auto"/>
        <w:rPr>
          <w:rFonts w:ascii="Calibri" w:hAnsi="Calibri"/>
          <w:color w:val="auto"/>
          <w:sz w:val="20"/>
          <w:highlight w:val="none"/>
        </w:rPr>
      </w:pPr>
    </w:p>
    <w:p>
      <w:pPr>
        <w:tabs>
          <w:tab w:val="left" w:pos="1420"/>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17.3.3</w:t>
      </w:r>
      <w:r>
        <w:rPr>
          <w:rFonts w:ascii="宋体" w:hAnsi="宋体" w:cs="宋体"/>
          <w:color w:val="auto"/>
          <w:sz w:val="21"/>
          <w:szCs w:val="21"/>
          <w:highlight w:val="none"/>
        </w:rPr>
        <w:tab/>
      </w:r>
      <w:r>
        <w:rPr>
          <w:rFonts w:ascii="宋体" w:hAnsi="宋体"/>
          <w:color w:val="auto"/>
          <w:spacing w:val="-3"/>
          <w:sz w:val="21"/>
          <w:szCs w:val="21"/>
          <w:highlight w:val="none"/>
        </w:rPr>
        <w:t>进</w:t>
      </w:r>
      <w:r>
        <w:rPr>
          <w:rFonts w:ascii="宋体" w:hAnsi="宋体"/>
          <w:color w:val="auto"/>
          <w:sz w:val="21"/>
          <w:szCs w:val="21"/>
          <w:highlight w:val="none"/>
        </w:rPr>
        <w:t>度</w:t>
      </w:r>
      <w:r>
        <w:rPr>
          <w:rFonts w:ascii="宋体" w:hAnsi="宋体"/>
          <w:color w:val="auto"/>
          <w:spacing w:val="-3"/>
          <w:sz w:val="21"/>
          <w:szCs w:val="21"/>
          <w:highlight w:val="none"/>
        </w:rPr>
        <w:t>付</w:t>
      </w:r>
      <w:r>
        <w:rPr>
          <w:rFonts w:ascii="宋体" w:hAnsi="宋体"/>
          <w:color w:val="auto"/>
          <w:sz w:val="21"/>
          <w:szCs w:val="21"/>
          <w:highlight w:val="none"/>
        </w:rPr>
        <w:t>款</w:t>
      </w:r>
      <w:r>
        <w:rPr>
          <w:rFonts w:ascii="宋体" w:hAnsi="宋体"/>
          <w:color w:val="auto"/>
          <w:spacing w:val="-3"/>
          <w:sz w:val="21"/>
          <w:szCs w:val="21"/>
          <w:highlight w:val="none"/>
        </w:rPr>
        <w:t>证</w:t>
      </w:r>
      <w:r>
        <w:rPr>
          <w:rFonts w:ascii="宋体" w:hAnsi="宋体"/>
          <w:color w:val="auto"/>
          <w:sz w:val="21"/>
          <w:szCs w:val="21"/>
          <w:highlight w:val="none"/>
        </w:rPr>
        <w:t>书</w:t>
      </w:r>
      <w:r>
        <w:rPr>
          <w:rFonts w:ascii="宋体" w:hAnsi="宋体"/>
          <w:color w:val="auto"/>
          <w:spacing w:val="-3"/>
          <w:sz w:val="21"/>
          <w:szCs w:val="21"/>
          <w:highlight w:val="none"/>
        </w:rPr>
        <w:t>和</w:t>
      </w:r>
      <w:r>
        <w:rPr>
          <w:rFonts w:ascii="宋体" w:hAnsi="宋体"/>
          <w:color w:val="auto"/>
          <w:sz w:val="21"/>
          <w:szCs w:val="21"/>
          <w:highlight w:val="none"/>
        </w:rPr>
        <w:t>支付</w:t>
      </w:r>
      <w:r>
        <w:rPr>
          <w:rFonts w:ascii="宋体" w:hAnsi="宋体"/>
          <w:color w:val="auto"/>
          <w:spacing w:val="-3"/>
          <w:sz w:val="21"/>
          <w:szCs w:val="21"/>
          <w:highlight w:val="none"/>
        </w:rPr>
        <w:t>时</w:t>
      </w:r>
      <w:r>
        <w:rPr>
          <w:rFonts w:ascii="宋体" w:hAnsi="宋体"/>
          <w:color w:val="auto"/>
          <w:sz w:val="21"/>
          <w:szCs w:val="21"/>
          <w:highlight w:val="none"/>
        </w:rPr>
        <w:t>间</w:t>
      </w:r>
    </w:p>
    <w:p>
      <w:pPr>
        <w:tabs>
          <w:tab w:val="left" w:pos="8453"/>
        </w:tabs>
        <w:adjustRightInd/>
        <w:spacing w:before="99" w:line="316" w:lineRule="auto"/>
        <w:ind w:left="724" w:right="155" w:hanging="147"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3"/>
          <w:sz w:val="21"/>
          <w:szCs w:val="21"/>
          <w:highlight w:val="none"/>
        </w:rPr>
        <w:t>）</w:t>
      </w:r>
      <w:r>
        <w:rPr>
          <w:rFonts w:ascii="宋体" w:hAnsi="宋体"/>
          <w:color w:val="auto"/>
          <w:sz w:val="21"/>
          <w:szCs w:val="21"/>
          <w:highlight w:val="none"/>
        </w:rPr>
        <w:t>逾</w:t>
      </w:r>
      <w:r>
        <w:rPr>
          <w:rFonts w:ascii="宋体" w:hAnsi="宋体"/>
          <w:color w:val="auto"/>
          <w:spacing w:val="-3"/>
          <w:sz w:val="21"/>
          <w:szCs w:val="21"/>
          <w:highlight w:val="none"/>
        </w:rPr>
        <w:t>期</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违</w:t>
      </w:r>
      <w:r>
        <w:rPr>
          <w:rFonts w:ascii="宋体" w:hAnsi="宋体"/>
          <w:color w:val="auto"/>
          <w:spacing w:val="-3"/>
          <w:sz w:val="21"/>
          <w:szCs w:val="21"/>
          <w:highlight w:val="none"/>
        </w:rPr>
        <w:t>约</w:t>
      </w:r>
      <w:r>
        <w:rPr>
          <w:rFonts w:ascii="宋体" w:hAnsi="宋体"/>
          <w:color w:val="auto"/>
          <w:sz w:val="21"/>
          <w:szCs w:val="21"/>
          <w:highlight w:val="none"/>
        </w:rPr>
        <w:t>金</w:t>
      </w:r>
      <w:r>
        <w:rPr>
          <w:rFonts w:ascii="宋体" w:hAnsi="宋体"/>
          <w:color w:val="auto"/>
          <w:spacing w:val="-3"/>
          <w:sz w:val="21"/>
          <w:szCs w:val="21"/>
          <w:highlight w:val="none"/>
        </w:rPr>
        <w:t>的计</w:t>
      </w:r>
      <w:r>
        <w:rPr>
          <w:rFonts w:ascii="宋体" w:hAnsi="宋体"/>
          <w:color w:val="auto"/>
          <w:sz w:val="21"/>
          <w:szCs w:val="21"/>
          <w:highlight w:val="none"/>
        </w:rPr>
        <w:t>算标</w:t>
      </w:r>
      <w:r>
        <w:rPr>
          <w:rFonts w:ascii="宋体" w:hAnsi="宋体"/>
          <w:color w:val="auto"/>
          <w:spacing w:val="-3"/>
          <w:sz w:val="21"/>
          <w:szCs w:val="21"/>
          <w:highlight w:val="none"/>
        </w:rPr>
        <w:t>准</w:t>
      </w:r>
      <w:r>
        <w:rPr>
          <w:rFonts w:ascii="宋体" w:hAnsi="宋体"/>
          <w:color w:val="auto"/>
          <w:sz w:val="21"/>
          <w:szCs w:val="21"/>
          <w:highlight w:val="none"/>
        </w:rPr>
        <w:t>：</w:t>
      </w:r>
      <w:r>
        <w:rPr>
          <w:rFonts w:hint="eastAsia" w:ascii="宋体" w:hAnsi="宋体"/>
          <w:color w:val="auto"/>
          <w:sz w:val="21"/>
          <w:szCs w:val="21"/>
          <w:highlight w:val="none"/>
          <w:u w:val="single"/>
        </w:rPr>
        <w:t>/</w:t>
      </w:r>
    </w:p>
    <w:p>
      <w:pPr>
        <w:tabs>
          <w:tab w:val="left" w:pos="8453"/>
        </w:tabs>
        <w:adjustRightInd/>
        <w:spacing w:before="99" w:line="316" w:lineRule="auto"/>
        <w:ind w:left="724" w:right="155" w:hanging="147" w:firstLineChars="0"/>
        <w:textAlignment w:val="auto"/>
        <w:rPr>
          <w:rFonts w:ascii="宋体" w:hAnsi="宋体"/>
          <w:color w:val="auto"/>
          <w:sz w:val="21"/>
          <w:szCs w:val="21"/>
          <w:highlight w:val="none"/>
          <w:u w:val="single"/>
        </w:rPr>
      </w:pPr>
      <w:r>
        <w:rPr>
          <w:rFonts w:ascii="宋体" w:hAnsi="宋体"/>
          <w:color w:val="auto"/>
          <w:sz w:val="21"/>
          <w:szCs w:val="21"/>
          <w:highlight w:val="none"/>
        </w:rPr>
        <w:t>逾期</w:t>
      </w:r>
      <w:r>
        <w:rPr>
          <w:rFonts w:ascii="宋体" w:hAnsi="宋体"/>
          <w:color w:val="auto"/>
          <w:spacing w:val="-3"/>
          <w:sz w:val="21"/>
          <w:szCs w:val="21"/>
          <w:highlight w:val="none"/>
        </w:rPr>
        <w:t>付</w:t>
      </w:r>
      <w:r>
        <w:rPr>
          <w:rFonts w:ascii="宋体" w:hAnsi="宋体"/>
          <w:color w:val="auto"/>
          <w:sz w:val="21"/>
          <w:szCs w:val="21"/>
          <w:highlight w:val="none"/>
        </w:rPr>
        <w:t>款</w:t>
      </w:r>
      <w:r>
        <w:rPr>
          <w:rFonts w:ascii="宋体" w:hAnsi="宋体"/>
          <w:color w:val="auto"/>
          <w:spacing w:val="-3"/>
          <w:sz w:val="21"/>
          <w:szCs w:val="21"/>
          <w:highlight w:val="none"/>
        </w:rPr>
        <w:t>违</w:t>
      </w:r>
      <w:r>
        <w:rPr>
          <w:rFonts w:ascii="宋体" w:hAnsi="宋体"/>
          <w:color w:val="auto"/>
          <w:sz w:val="21"/>
          <w:szCs w:val="21"/>
          <w:highlight w:val="none"/>
        </w:rPr>
        <w:t>约</w:t>
      </w:r>
      <w:r>
        <w:rPr>
          <w:rFonts w:ascii="宋体" w:hAnsi="宋体"/>
          <w:color w:val="auto"/>
          <w:spacing w:val="-3"/>
          <w:sz w:val="21"/>
          <w:szCs w:val="21"/>
          <w:highlight w:val="none"/>
        </w:rPr>
        <w:t>金</w:t>
      </w:r>
      <w:r>
        <w:rPr>
          <w:rFonts w:ascii="宋体" w:hAnsi="宋体"/>
          <w:color w:val="auto"/>
          <w:sz w:val="21"/>
          <w:szCs w:val="21"/>
          <w:highlight w:val="none"/>
        </w:rPr>
        <w:t>的</w:t>
      </w:r>
      <w:r>
        <w:rPr>
          <w:rFonts w:ascii="宋体" w:hAnsi="宋体"/>
          <w:color w:val="auto"/>
          <w:spacing w:val="-3"/>
          <w:sz w:val="21"/>
          <w:szCs w:val="21"/>
          <w:highlight w:val="none"/>
        </w:rPr>
        <w:t>计</w:t>
      </w:r>
      <w:r>
        <w:rPr>
          <w:rFonts w:ascii="宋体" w:hAnsi="宋体"/>
          <w:color w:val="auto"/>
          <w:sz w:val="21"/>
          <w:szCs w:val="21"/>
          <w:highlight w:val="none"/>
        </w:rPr>
        <w:t>算</w:t>
      </w:r>
      <w:r>
        <w:rPr>
          <w:rFonts w:ascii="宋体" w:hAnsi="宋体"/>
          <w:color w:val="auto"/>
          <w:spacing w:val="-3"/>
          <w:sz w:val="21"/>
          <w:szCs w:val="21"/>
          <w:highlight w:val="none"/>
        </w:rPr>
        <w:t>方</w:t>
      </w:r>
      <w:r>
        <w:rPr>
          <w:rFonts w:ascii="宋体" w:hAnsi="宋体"/>
          <w:color w:val="auto"/>
          <w:sz w:val="21"/>
          <w:szCs w:val="21"/>
          <w:highlight w:val="none"/>
        </w:rPr>
        <w:t>法：</w:t>
      </w:r>
      <w:r>
        <w:rPr>
          <w:rFonts w:hint="eastAsia" w:ascii="宋体" w:hAnsi="宋体"/>
          <w:color w:val="auto"/>
          <w:sz w:val="21"/>
          <w:szCs w:val="21"/>
          <w:highlight w:val="none"/>
          <w:u w:val="single"/>
        </w:rPr>
        <w:t>/</w:t>
      </w:r>
    </w:p>
    <w:p>
      <w:pPr>
        <w:spacing w:before="1"/>
        <w:ind w:left="578" w:leftChars="241" w:firstLine="315" w:firstLineChars="150"/>
        <w:rPr>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4</w:t>
      </w:r>
      <w:r>
        <w:rPr>
          <w:rFonts w:ascii="宋体" w:hAnsi="宋体"/>
          <w:color w:val="auto"/>
          <w:spacing w:val="-3"/>
          <w:sz w:val="21"/>
          <w:szCs w:val="21"/>
          <w:highlight w:val="none"/>
        </w:rPr>
        <w:t>）</w:t>
      </w:r>
      <w:r>
        <w:rPr>
          <w:rFonts w:ascii="宋体" w:hAnsi="宋体"/>
          <w:color w:val="auto"/>
          <w:sz w:val="21"/>
          <w:szCs w:val="21"/>
          <w:highlight w:val="none"/>
        </w:rPr>
        <w:t>进</w:t>
      </w:r>
      <w:r>
        <w:rPr>
          <w:rFonts w:ascii="宋体" w:hAnsi="宋体"/>
          <w:color w:val="auto"/>
          <w:spacing w:val="-3"/>
          <w:sz w:val="21"/>
          <w:szCs w:val="21"/>
          <w:highlight w:val="none"/>
        </w:rPr>
        <w:t>度</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涉</w:t>
      </w:r>
      <w:r>
        <w:rPr>
          <w:rFonts w:ascii="宋体" w:hAnsi="宋体"/>
          <w:color w:val="auto"/>
          <w:spacing w:val="-3"/>
          <w:sz w:val="21"/>
          <w:szCs w:val="21"/>
          <w:highlight w:val="none"/>
        </w:rPr>
        <w:t>及</w:t>
      </w:r>
      <w:r>
        <w:rPr>
          <w:rFonts w:ascii="宋体" w:hAnsi="宋体"/>
          <w:color w:val="auto"/>
          <w:sz w:val="21"/>
          <w:szCs w:val="21"/>
          <w:highlight w:val="none"/>
        </w:rPr>
        <w:t>政</w:t>
      </w:r>
      <w:r>
        <w:rPr>
          <w:rFonts w:ascii="宋体" w:hAnsi="宋体"/>
          <w:color w:val="auto"/>
          <w:spacing w:val="-3"/>
          <w:sz w:val="21"/>
          <w:szCs w:val="21"/>
          <w:highlight w:val="none"/>
        </w:rPr>
        <w:t>府性</w:t>
      </w:r>
      <w:r>
        <w:rPr>
          <w:rFonts w:ascii="宋体" w:hAnsi="宋体"/>
          <w:color w:val="auto"/>
          <w:sz w:val="21"/>
          <w:szCs w:val="21"/>
          <w:highlight w:val="none"/>
        </w:rPr>
        <w:t>资金</w:t>
      </w:r>
      <w:r>
        <w:rPr>
          <w:rFonts w:ascii="宋体" w:hAnsi="宋体"/>
          <w:color w:val="auto"/>
          <w:spacing w:val="-3"/>
          <w:sz w:val="21"/>
          <w:szCs w:val="21"/>
          <w:highlight w:val="none"/>
        </w:rPr>
        <w:t>的</w:t>
      </w:r>
      <w:r>
        <w:rPr>
          <w:rFonts w:ascii="宋体" w:hAnsi="宋体"/>
          <w:color w:val="auto"/>
          <w:sz w:val="21"/>
          <w:szCs w:val="21"/>
          <w:highlight w:val="none"/>
        </w:rPr>
        <w:t>支</w:t>
      </w:r>
      <w:r>
        <w:rPr>
          <w:rFonts w:ascii="宋体" w:hAnsi="宋体"/>
          <w:color w:val="auto"/>
          <w:spacing w:val="-3"/>
          <w:sz w:val="21"/>
          <w:szCs w:val="21"/>
          <w:highlight w:val="none"/>
        </w:rPr>
        <w:t>付</w:t>
      </w:r>
      <w:r>
        <w:rPr>
          <w:rFonts w:ascii="宋体" w:hAnsi="宋体"/>
          <w:color w:val="auto"/>
          <w:sz w:val="21"/>
          <w:szCs w:val="21"/>
          <w:highlight w:val="none"/>
        </w:rPr>
        <w:t>方</w:t>
      </w:r>
      <w:r>
        <w:rPr>
          <w:rFonts w:ascii="宋体" w:hAnsi="宋体"/>
          <w:color w:val="auto"/>
          <w:spacing w:val="-3"/>
          <w:sz w:val="21"/>
          <w:szCs w:val="21"/>
          <w:highlight w:val="none"/>
        </w:rPr>
        <w:t>法</w:t>
      </w:r>
      <w:r>
        <w:rPr>
          <w:rFonts w:ascii="宋体" w:hAnsi="宋体"/>
          <w:color w:val="auto"/>
          <w:sz w:val="21"/>
          <w:szCs w:val="21"/>
          <w:highlight w:val="none"/>
        </w:rPr>
        <w:t>：</w:t>
      </w:r>
      <w:r>
        <w:rPr>
          <w:rFonts w:hint="eastAsia" w:ascii="宋体" w:hAnsi="宋体"/>
          <w:color w:val="auto"/>
          <w:sz w:val="21"/>
          <w:szCs w:val="21"/>
          <w:highlight w:val="none"/>
          <w:u w:val="single"/>
        </w:rPr>
        <w:t>工程竣工完成后，发包人支付至合同价款（扣除暂列金）的 80%，待工程竣工结算审计完成后，付至审计结算价的97%,其余3%作为质量保证金，待质量缺陷期满后，退还质量保证金。</w:t>
      </w: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17" w:name="_bookmark154"/>
      <w:bookmarkEnd w:id="817"/>
      <w:r>
        <w:rPr>
          <w:rFonts w:ascii="宋体" w:hAnsi="宋体" w:cs="宋体"/>
          <w:color w:val="auto"/>
          <w:szCs w:val="24"/>
          <w:highlight w:val="none"/>
        </w:rPr>
        <w:t>17.4</w:t>
      </w:r>
      <w:r>
        <w:rPr>
          <w:rFonts w:ascii="宋体" w:hAnsi="宋体" w:cs="宋体"/>
          <w:color w:val="auto"/>
          <w:szCs w:val="24"/>
          <w:highlight w:val="none"/>
        </w:rPr>
        <w:tab/>
      </w:r>
      <w:r>
        <w:rPr>
          <w:rFonts w:ascii="宋体" w:hAnsi="宋体" w:cs="宋体"/>
          <w:color w:val="auto"/>
          <w:szCs w:val="24"/>
          <w:highlight w:val="none"/>
        </w:rPr>
        <w:t>质量保证金</w:t>
      </w:r>
    </w:p>
    <w:p>
      <w:pPr>
        <w:adjustRightInd/>
        <w:spacing w:before="6" w:line="240" w:lineRule="exact"/>
        <w:ind w:firstLine="0" w:firstLineChars="0"/>
        <w:textAlignment w:val="auto"/>
        <w:rPr>
          <w:rFonts w:ascii="Calibri" w:hAnsi="Calibri"/>
          <w:color w:val="auto"/>
          <w:szCs w:val="24"/>
          <w:highlight w:val="none"/>
        </w:rPr>
      </w:pPr>
    </w:p>
    <w:p>
      <w:pPr>
        <w:tabs>
          <w:tab w:val="left" w:pos="142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17.4.1</w:t>
      </w:r>
      <w:r>
        <w:rPr>
          <w:rFonts w:ascii="宋体" w:hAnsi="宋体" w:cs="宋体"/>
          <w:color w:val="auto"/>
          <w:sz w:val="21"/>
          <w:szCs w:val="21"/>
          <w:highlight w:val="none"/>
        </w:rPr>
        <w:tab/>
      </w:r>
      <w:r>
        <w:rPr>
          <w:rFonts w:ascii="宋体" w:hAnsi="宋体"/>
          <w:color w:val="auto"/>
          <w:spacing w:val="-3"/>
          <w:sz w:val="21"/>
          <w:szCs w:val="21"/>
          <w:highlight w:val="none"/>
        </w:rPr>
        <w:t>质</w:t>
      </w:r>
      <w:r>
        <w:rPr>
          <w:rFonts w:ascii="宋体" w:hAnsi="宋体"/>
          <w:color w:val="auto"/>
          <w:sz w:val="21"/>
          <w:szCs w:val="21"/>
          <w:highlight w:val="none"/>
        </w:rPr>
        <w:t>量</w:t>
      </w:r>
      <w:r>
        <w:rPr>
          <w:rFonts w:ascii="宋体" w:hAnsi="宋体"/>
          <w:color w:val="auto"/>
          <w:spacing w:val="-3"/>
          <w:sz w:val="21"/>
          <w:szCs w:val="21"/>
          <w:highlight w:val="none"/>
        </w:rPr>
        <w:t>保</w:t>
      </w:r>
      <w:r>
        <w:rPr>
          <w:rFonts w:ascii="宋体" w:hAnsi="宋体"/>
          <w:color w:val="auto"/>
          <w:sz w:val="21"/>
          <w:szCs w:val="21"/>
          <w:highlight w:val="none"/>
        </w:rPr>
        <w:t>证</w:t>
      </w:r>
      <w:r>
        <w:rPr>
          <w:rFonts w:ascii="宋体" w:hAnsi="宋体"/>
          <w:color w:val="auto"/>
          <w:spacing w:val="-3"/>
          <w:sz w:val="21"/>
          <w:szCs w:val="21"/>
          <w:highlight w:val="none"/>
        </w:rPr>
        <w:t>金</w:t>
      </w:r>
      <w:r>
        <w:rPr>
          <w:rFonts w:ascii="宋体" w:hAnsi="宋体"/>
          <w:color w:val="auto"/>
          <w:sz w:val="21"/>
          <w:szCs w:val="21"/>
          <w:highlight w:val="none"/>
        </w:rPr>
        <w:t>处理</w:t>
      </w:r>
    </w:p>
    <w:p>
      <w:pPr>
        <w:tabs>
          <w:tab w:val="left" w:pos="3633"/>
        </w:tabs>
        <w:adjustRightInd/>
        <w:spacing w:before="98" w:line="316" w:lineRule="auto"/>
        <w:ind w:left="158" w:right="191" w:firstLine="419"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3</w:t>
      </w:r>
      <w:r>
        <w:rPr>
          <w:rFonts w:ascii="宋体" w:hAnsi="宋体"/>
          <w:color w:val="auto"/>
          <w:sz w:val="21"/>
          <w:szCs w:val="21"/>
          <w:highlight w:val="none"/>
        </w:rPr>
        <w:t>）质</w:t>
      </w:r>
      <w:r>
        <w:rPr>
          <w:rFonts w:ascii="宋体" w:hAnsi="宋体"/>
          <w:color w:val="auto"/>
          <w:spacing w:val="-3"/>
          <w:sz w:val="21"/>
          <w:szCs w:val="21"/>
          <w:highlight w:val="none"/>
        </w:rPr>
        <w:t>量</w:t>
      </w:r>
      <w:r>
        <w:rPr>
          <w:rFonts w:ascii="宋体" w:hAnsi="宋体"/>
          <w:color w:val="auto"/>
          <w:sz w:val="21"/>
          <w:szCs w:val="21"/>
          <w:highlight w:val="none"/>
        </w:rPr>
        <w:t>保证</w:t>
      </w:r>
      <w:r>
        <w:rPr>
          <w:rFonts w:ascii="宋体" w:hAnsi="宋体"/>
          <w:color w:val="auto"/>
          <w:spacing w:val="-3"/>
          <w:sz w:val="21"/>
          <w:szCs w:val="21"/>
          <w:highlight w:val="none"/>
        </w:rPr>
        <w:t>金</w:t>
      </w:r>
      <w:r>
        <w:rPr>
          <w:rFonts w:ascii="宋体" w:hAnsi="宋体"/>
          <w:color w:val="auto"/>
          <w:sz w:val="21"/>
          <w:szCs w:val="21"/>
          <w:highlight w:val="none"/>
        </w:rPr>
        <w:t>形式：</w:t>
      </w:r>
      <w:r>
        <w:rPr>
          <w:rFonts w:hint="eastAsia" w:ascii="宋体" w:hAnsi="宋体"/>
          <w:color w:val="auto"/>
          <w:sz w:val="21"/>
          <w:szCs w:val="21"/>
          <w:highlight w:val="none"/>
          <w:u w:val="single" w:color="000000"/>
        </w:rPr>
        <w:t>采用扣留 质量保证金</w:t>
      </w:r>
      <w:r>
        <w:rPr>
          <w:rFonts w:ascii="宋体" w:hAnsi="宋体"/>
          <w:color w:val="auto"/>
          <w:sz w:val="21"/>
          <w:szCs w:val="21"/>
          <w:highlight w:val="none"/>
        </w:rPr>
        <w:t>（采</w:t>
      </w:r>
      <w:r>
        <w:rPr>
          <w:rFonts w:ascii="宋体" w:hAnsi="宋体"/>
          <w:color w:val="auto"/>
          <w:spacing w:val="-3"/>
          <w:sz w:val="21"/>
          <w:szCs w:val="21"/>
          <w:highlight w:val="none"/>
        </w:rPr>
        <w:t>用</w:t>
      </w:r>
      <w:r>
        <w:rPr>
          <w:rFonts w:ascii="宋体" w:hAnsi="宋体"/>
          <w:color w:val="auto"/>
          <w:sz w:val="21"/>
          <w:szCs w:val="21"/>
          <w:highlight w:val="none"/>
        </w:rPr>
        <w:t>银行</w:t>
      </w:r>
      <w:r>
        <w:rPr>
          <w:rFonts w:ascii="宋体" w:hAnsi="宋体"/>
          <w:color w:val="auto"/>
          <w:spacing w:val="-3"/>
          <w:sz w:val="21"/>
          <w:szCs w:val="21"/>
          <w:highlight w:val="none"/>
        </w:rPr>
        <w:t>保</w:t>
      </w:r>
      <w:r>
        <w:rPr>
          <w:rFonts w:ascii="宋体" w:hAnsi="宋体"/>
          <w:color w:val="auto"/>
          <w:sz w:val="21"/>
          <w:szCs w:val="21"/>
          <w:highlight w:val="none"/>
        </w:rPr>
        <w:t>函</w:t>
      </w:r>
      <w:r>
        <w:rPr>
          <w:rFonts w:ascii="宋体" w:hAnsi="宋体"/>
          <w:color w:val="auto"/>
          <w:spacing w:val="-3"/>
          <w:sz w:val="21"/>
          <w:szCs w:val="21"/>
          <w:highlight w:val="none"/>
        </w:rPr>
        <w:t>担</w:t>
      </w:r>
      <w:r>
        <w:rPr>
          <w:rFonts w:ascii="宋体" w:hAnsi="宋体"/>
          <w:color w:val="auto"/>
          <w:sz w:val="21"/>
          <w:szCs w:val="21"/>
          <w:highlight w:val="none"/>
        </w:rPr>
        <w:t>保或其</w:t>
      </w:r>
      <w:r>
        <w:rPr>
          <w:rFonts w:ascii="宋体" w:hAnsi="宋体"/>
          <w:color w:val="auto"/>
          <w:spacing w:val="-3"/>
          <w:sz w:val="21"/>
          <w:szCs w:val="21"/>
          <w:highlight w:val="none"/>
        </w:rPr>
        <w:t>他</w:t>
      </w:r>
      <w:r>
        <w:rPr>
          <w:rFonts w:ascii="宋体" w:hAnsi="宋体"/>
          <w:color w:val="auto"/>
          <w:sz w:val="21"/>
          <w:szCs w:val="21"/>
          <w:highlight w:val="none"/>
        </w:rPr>
        <w:t>保函</w:t>
      </w:r>
      <w:r>
        <w:rPr>
          <w:rFonts w:ascii="宋体" w:hAnsi="宋体"/>
          <w:color w:val="auto"/>
          <w:spacing w:val="-3"/>
          <w:sz w:val="21"/>
          <w:szCs w:val="21"/>
          <w:highlight w:val="none"/>
        </w:rPr>
        <w:t>担</w:t>
      </w:r>
      <w:r>
        <w:rPr>
          <w:rFonts w:ascii="宋体" w:hAnsi="宋体"/>
          <w:color w:val="auto"/>
          <w:sz w:val="21"/>
          <w:szCs w:val="21"/>
          <w:highlight w:val="none"/>
        </w:rPr>
        <w:t>保形</w:t>
      </w:r>
      <w:r>
        <w:rPr>
          <w:rFonts w:ascii="宋体" w:hAnsi="宋体"/>
          <w:color w:val="auto"/>
          <w:spacing w:val="-3"/>
          <w:sz w:val="21"/>
          <w:szCs w:val="21"/>
          <w:highlight w:val="none"/>
        </w:rPr>
        <w:t>式╱</w:t>
      </w:r>
      <w:r>
        <w:rPr>
          <w:rFonts w:ascii="宋体" w:hAnsi="宋体"/>
          <w:color w:val="auto"/>
          <w:sz w:val="21"/>
          <w:szCs w:val="21"/>
          <w:highlight w:val="none"/>
        </w:rPr>
        <w:t>采用扣留 质量</w:t>
      </w:r>
      <w:r>
        <w:rPr>
          <w:rFonts w:ascii="宋体" w:hAnsi="宋体"/>
          <w:color w:val="auto"/>
          <w:spacing w:val="-3"/>
          <w:sz w:val="21"/>
          <w:szCs w:val="21"/>
          <w:highlight w:val="none"/>
        </w:rPr>
        <w:t>保</w:t>
      </w:r>
      <w:r>
        <w:rPr>
          <w:rFonts w:ascii="宋体" w:hAnsi="宋体"/>
          <w:color w:val="auto"/>
          <w:sz w:val="21"/>
          <w:szCs w:val="21"/>
          <w:highlight w:val="none"/>
        </w:rPr>
        <w:t>证</w:t>
      </w:r>
      <w:r>
        <w:rPr>
          <w:rFonts w:ascii="宋体" w:hAnsi="宋体"/>
          <w:color w:val="auto"/>
          <w:spacing w:val="-3"/>
          <w:sz w:val="21"/>
          <w:szCs w:val="21"/>
          <w:highlight w:val="none"/>
        </w:rPr>
        <w:t>金</w:t>
      </w:r>
      <w:r>
        <w:rPr>
          <w:rFonts w:ascii="宋体" w:hAnsi="宋体"/>
          <w:color w:val="auto"/>
          <w:spacing w:val="-106"/>
          <w:sz w:val="21"/>
          <w:szCs w:val="21"/>
          <w:highlight w:val="none"/>
        </w:rPr>
        <w:t>）</w:t>
      </w:r>
      <w:r>
        <w:rPr>
          <w:rFonts w:ascii="宋体" w:hAnsi="宋体"/>
          <w:color w:val="auto"/>
          <w:sz w:val="21"/>
          <w:szCs w:val="21"/>
          <w:highlight w:val="none"/>
        </w:rPr>
        <w:t>。</w:t>
      </w:r>
    </w:p>
    <w:p>
      <w:pPr>
        <w:tabs>
          <w:tab w:val="left" w:pos="4149"/>
        </w:tabs>
        <w:adjustRightInd/>
        <w:spacing w:before="31" w:line="240" w:lineRule="auto"/>
        <w:ind w:left="1103" w:firstLine="0" w:firstLineChars="0"/>
        <w:textAlignment w:val="auto"/>
        <w:rPr>
          <w:rFonts w:ascii="宋体" w:hAnsi="宋体" w:cs="宋体"/>
          <w:color w:val="auto"/>
          <w:sz w:val="21"/>
          <w:szCs w:val="21"/>
          <w:highlight w:val="none"/>
        </w:rPr>
      </w:pPr>
      <w:r>
        <w:rPr>
          <w:rFonts w:ascii="宋体" w:hAnsi="宋体"/>
          <w:color w:val="auto"/>
          <w:sz w:val="21"/>
          <w:szCs w:val="21"/>
          <w:highlight w:val="none"/>
        </w:rPr>
        <w:t>质量</w:t>
      </w:r>
      <w:r>
        <w:rPr>
          <w:rFonts w:ascii="宋体" w:hAnsi="宋体"/>
          <w:color w:val="auto"/>
          <w:spacing w:val="-3"/>
          <w:sz w:val="21"/>
          <w:szCs w:val="21"/>
          <w:highlight w:val="none"/>
        </w:rPr>
        <w:t>保</w:t>
      </w:r>
      <w:r>
        <w:rPr>
          <w:rFonts w:ascii="宋体" w:hAnsi="宋体"/>
          <w:color w:val="auto"/>
          <w:sz w:val="21"/>
          <w:szCs w:val="21"/>
          <w:highlight w:val="none"/>
        </w:rPr>
        <w:t>证</w:t>
      </w:r>
      <w:r>
        <w:rPr>
          <w:rFonts w:ascii="宋体" w:hAnsi="宋体"/>
          <w:color w:val="auto"/>
          <w:spacing w:val="-3"/>
          <w:sz w:val="21"/>
          <w:szCs w:val="21"/>
          <w:highlight w:val="none"/>
        </w:rPr>
        <w:t>金</w:t>
      </w:r>
      <w:r>
        <w:rPr>
          <w:rFonts w:ascii="宋体" w:hAnsi="宋体"/>
          <w:color w:val="auto"/>
          <w:sz w:val="21"/>
          <w:szCs w:val="21"/>
          <w:highlight w:val="none"/>
        </w:rPr>
        <w:t>约</w:t>
      </w:r>
      <w:r>
        <w:rPr>
          <w:rFonts w:ascii="宋体" w:hAnsi="宋体"/>
          <w:color w:val="auto"/>
          <w:spacing w:val="-3"/>
          <w:sz w:val="21"/>
          <w:szCs w:val="21"/>
          <w:highlight w:val="none"/>
        </w:rPr>
        <w:t>定</w:t>
      </w:r>
      <w:r>
        <w:rPr>
          <w:rFonts w:ascii="宋体" w:hAnsi="宋体"/>
          <w:color w:val="auto"/>
          <w:sz w:val="21"/>
          <w:szCs w:val="21"/>
          <w:highlight w:val="none"/>
        </w:rPr>
        <w:t>比</w:t>
      </w:r>
      <w:r>
        <w:rPr>
          <w:rFonts w:ascii="宋体" w:hAnsi="宋体"/>
          <w:color w:val="auto"/>
          <w:spacing w:val="-3"/>
          <w:sz w:val="21"/>
          <w:szCs w:val="21"/>
          <w:highlight w:val="none"/>
        </w:rPr>
        <w:t>例</w:t>
      </w:r>
      <w:r>
        <w:rPr>
          <w:rFonts w:ascii="宋体" w:hAnsi="宋体"/>
          <w:color w:val="auto"/>
          <w:sz w:val="21"/>
          <w:szCs w:val="21"/>
          <w:highlight w:val="none"/>
        </w:rPr>
        <w:t>：</w:t>
      </w:r>
      <w:r>
        <w:rPr>
          <w:rFonts w:hint="eastAsia" w:ascii="宋体" w:hAnsi="宋体"/>
          <w:color w:val="auto"/>
          <w:sz w:val="21"/>
          <w:szCs w:val="21"/>
          <w:highlight w:val="none"/>
          <w:u w:val="single" w:color="000000"/>
        </w:rPr>
        <w:t>3</w:t>
      </w:r>
      <w:r>
        <w:rPr>
          <w:rFonts w:ascii="宋体" w:hAnsi="宋体" w:cs="宋体"/>
          <w:color w:val="auto"/>
          <w:sz w:val="21"/>
          <w:szCs w:val="21"/>
          <w:highlight w:val="none"/>
        </w:rPr>
        <w:t>%</w:t>
      </w:r>
    </w:p>
    <w:p>
      <w:pPr>
        <w:adjustRightInd/>
        <w:spacing w:before="1" w:line="220" w:lineRule="exact"/>
        <w:ind w:firstLine="0" w:firstLineChars="0"/>
        <w:textAlignment w:val="auto"/>
        <w:rPr>
          <w:rFonts w:ascii="Calibri" w:hAnsi="Calibri"/>
          <w:color w:val="auto"/>
          <w:sz w:val="22"/>
          <w:szCs w:val="22"/>
          <w:highlight w:val="none"/>
        </w:rPr>
      </w:pPr>
    </w:p>
    <w:p>
      <w:pPr>
        <w:numPr>
          <w:ilvl w:val="1"/>
          <w:numId w:val="13"/>
        </w:numPr>
        <w:tabs>
          <w:tab w:val="left" w:pos="877"/>
        </w:tabs>
        <w:adjustRightInd/>
        <w:spacing w:line="340" w:lineRule="exact"/>
        <w:ind w:left="878" w:firstLineChars="0"/>
        <w:jc w:val="both"/>
        <w:textAlignment w:val="auto"/>
        <w:rPr>
          <w:rFonts w:ascii="宋体" w:hAnsi="宋体" w:cs="宋体"/>
          <w:color w:val="auto"/>
          <w:szCs w:val="24"/>
          <w:highlight w:val="none"/>
          <w:lang w:eastAsia="en-US"/>
        </w:rPr>
      </w:pPr>
      <w:bookmarkStart w:id="818" w:name="_bookmark155"/>
      <w:bookmarkEnd w:id="818"/>
      <w:r>
        <w:rPr>
          <w:rFonts w:ascii="宋体" w:hAnsi="宋体" w:cs="宋体"/>
          <w:color w:val="auto"/>
          <w:szCs w:val="24"/>
          <w:highlight w:val="none"/>
          <w:lang w:eastAsia="en-US"/>
        </w:rPr>
        <w:t>竣工结算</w:t>
      </w:r>
    </w:p>
    <w:p>
      <w:pPr>
        <w:adjustRightInd/>
        <w:spacing w:before="5" w:line="240" w:lineRule="exact"/>
        <w:ind w:firstLine="0" w:firstLineChars="0"/>
        <w:textAlignment w:val="auto"/>
        <w:rPr>
          <w:rFonts w:ascii="Calibri" w:hAnsi="Calibri"/>
          <w:color w:val="auto"/>
          <w:szCs w:val="24"/>
          <w:highlight w:val="none"/>
          <w:lang w:eastAsia="en-US"/>
        </w:rPr>
      </w:pPr>
    </w:p>
    <w:p>
      <w:pPr>
        <w:tabs>
          <w:tab w:val="left" w:pos="1420"/>
        </w:tabs>
        <w:adjustRightInd/>
        <w:spacing w:line="240" w:lineRule="auto"/>
        <w:ind w:left="578"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17.5.1</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竣</w:t>
      </w:r>
      <w:r>
        <w:rPr>
          <w:rFonts w:ascii="宋体" w:hAnsi="宋体"/>
          <w:color w:val="auto"/>
          <w:sz w:val="21"/>
          <w:szCs w:val="21"/>
          <w:highlight w:val="none"/>
          <w:lang w:eastAsia="en-US"/>
        </w:rPr>
        <w:t>工</w:t>
      </w:r>
      <w:r>
        <w:rPr>
          <w:rFonts w:ascii="宋体" w:hAnsi="宋体"/>
          <w:color w:val="auto"/>
          <w:spacing w:val="-3"/>
          <w:sz w:val="21"/>
          <w:szCs w:val="21"/>
          <w:highlight w:val="none"/>
          <w:lang w:eastAsia="en-US"/>
        </w:rPr>
        <w:t>付</w:t>
      </w:r>
      <w:r>
        <w:rPr>
          <w:rFonts w:ascii="宋体" w:hAnsi="宋体"/>
          <w:color w:val="auto"/>
          <w:sz w:val="21"/>
          <w:szCs w:val="21"/>
          <w:highlight w:val="none"/>
          <w:lang w:eastAsia="en-US"/>
        </w:rPr>
        <w:t>款</w:t>
      </w:r>
      <w:r>
        <w:rPr>
          <w:rFonts w:ascii="宋体" w:hAnsi="宋体"/>
          <w:color w:val="auto"/>
          <w:spacing w:val="-3"/>
          <w:sz w:val="21"/>
          <w:szCs w:val="21"/>
          <w:highlight w:val="none"/>
          <w:lang w:eastAsia="en-US"/>
        </w:rPr>
        <w:t>申</w:t>
      </w:r>
      <w:r>
        <w:rPr>
          <w:rFonts w:ascii="宋体" w:hAnsi="宋体"/>
          <w:color w:val="auto"/>
          <w:sz w:val="21"/>
          <w:szCs w:val="21"/>
          <w:highlight w:val="none"/>
          <w:lang w:eastAsia="en-US"/>
        </w:rPr>
        <w:t>请单</w:t>
      </w:r>
    </w:p>
    <w:p>
      <w:pPr>
        <w:tabs>
          <w:tab w:val="left" w:pos="8453"/>
        </w:tabs>
        <w:adjustRightInd/>
        <w:spacing w:before="98" w:line="316" w:lineRule="auto"/>
        <w:ind w:left="998" w:right="212" w:hanging="42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交</w:t>
      </w:r>
      <w:r>
        <w:rPr>
          <w:rFonts w:ascii="宋体" w:hAnsi="宋体"/>
          <w:color w:val="auto"/>
          <w:spacing w:val="-3"/>
          <w:sz w:val="21"/>
          <w:szCs w:val="21"/>
          <w:highlight w:val="none"/>
        </w:rPr>
        <w:t>竣</w:t>
      </w:r>
      <w:r>
        <w:rPr>
          <w:rFonts w:ascii="宋体" w:hAnsi="宋体"/>
          <w:color w:val="auto"/>
          <w:sz w:val="21"/>
          <w:szCs w:val="21"/>
          <w:highlight w:val="none"/>
        </w:rPr>
        <w:t>工</w:t>
      </w:r>
      <w:r>
        <w:rPr>
          <w:rFonts w:ascii="宋体" w:hAnsi="宋体"/>
          <w:color w:val="auto"/>
          <w:spacing w:val="-3"/>
          <w:sz w:val="21"/>
          <w:szCs w:val="21"/>
          <w:highlight w:val="none"/>
        </w:rPr>
        <w:t>付款</w:t>
      </w:r>
      <w:r>
        <w:rPr>
          <w:rFonts w:ascii="宋体" w:hAnsi="宋体"/>
          <w:color w:val="auto"/>
          <w:sz w:val="21"/>
          <w:szCs w:val="21"/>
          <w:highlight w:val="none"/>
        </w:rPr>
        <w:t>申请</w:t>
      </w:r>
      <w:r>
        <w:rPr>
          <w:rFonts w:ascii="宋体" w:hAnsi="宋体"/>
          <w:color w:val="auto"/>
          <w:spacing w:val="-3"/>
          <w:sz w:val="21"/>
          <w:szCs w:val="21"/>
          <w:highlight w:val="none"/>
        </w:rPr>
        <w:t>单</w:t>
      </w:r>
      <w:r>
        <w:rPr>
          <w:rFonts w:ascii="宋体" w:hAnsi="宋体"/>
          <w:color w:val="auto"/>
          <w:sz w:val="21"/>
          <w:szCs w:val="21"/>
          <w:highlight w:val="none"/>
        </w:rPr>
        <w:t>的</w:t>
      </w:r>
      <w:r>
        <w:rPr>
          <w:rFonts w:ascii="宋体" w:hAnsi="宋体"/>
          <w:color w:val="auto"/>
          <w:spacing w:val="-3"/>
          <w:sz w:val="21"/>
          <w:szCs w:val="21"/>
          <w:highlight w:val="none"/>
        </w:rPr>
        <w:t>份</w:t>
      </w:r>
      <w:r>
        <w:rPr>
          <w:rFonts w:ascii="宋体" w:hAnsi="宋体"/>
          <w:color w:val="auto"/>
          <w:sz w:val="21"/>
          <w:szCs w:val="21"/>
          <w:highlight w:val="none"/>
        </w:rPr>
        <w:t>数</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5份</w:t>
      </w:r>
      <w:r>
        <w:rPr>
          <w:rFonts w:ascii="宋体" w:hAnsi="宋体"/>
          <w:color w:val="auto"/>
          <w:sz w:val="21"/>
          <w:szCs w:val="21"/>
          <w:highlight w:val="none"/>
          <w:u w:val="single" w:color="000000"/>
        </w:rPr>
        <w:tab/>
      </w:r>
    </w:p>
    <w:p>
      <w:pPr>
        <w:tabs>
          <w:tab w:val="left" w:pos="8453"/>
        </w:tabs>
        <w:adjustRightInd/>
        <w:spacing w:before="98" w:line="316" w:lineRule="auto"/>
        <w:ind w:left="240" w:leftChars="100" w:right="212" w:firstLine="840" w:firstLineChars="400"/>
        <w:textAlignment w:val="auto"/>
        <w:rPr>
          <w:rFonts w:ascii="宋体" w:hAnsi="宋体"/>
          <w:color w:val="auto"/>
          <w:sz w:val="21"/>
          <w:szCs w:val="21"/>
          <w:highlight w:val="none"/>
          <w:u w:val="single" w:color="000000"/>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交</w:t>
      </w:r>
      <w:r>
        <w:rPr>
          <w:rFonts w:ascii="宋体" w:hAnsi="宋体"/>
          <w:color w:val="auto"/>
          <w:sz w:val="21"/>
          <w:szCs w:val="21"/>
          <w:highlight w:val="none"/>
        </w:rPr>
        <w:t>竣</w:t>
      </w:r>
      <w:r>
        <w:rPr>
          <w:rFonts w:ascii="宋体" w:hAnsi="宋体"/>
          <w:color w:val="auto"/>
          <w:spacing w:val="-3"/>
          <w:sz w:val="21"/>
          <w:szCs w:val="21"/>
          <w:highlight w:val="none"/>
        </w:rPr>
        <w:t>工</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申</w:t>
      </w:r>
      <w:r>
        <w:rPr>
          <w:rFonts w:ascii="宋体" w:hAnsi="宋体"/>
          <w:color w:val="auto"/>
          <w:spacing w:val="-3"/>
          <w:sz w:val="21"/>
          <w:szCs w:val="21"/>
          <w:highlight w:val="none"/>
        </w:rPr>
        <w:t>请</w:t>
      </w:r>
      <w:r>
        <w:rPr>
          <w:rFonts w:ascii="宋体" w:hAnsi="宋体"/>
          <w:color w:val="auto"/>
          <w:sz w:val="21"/>
          <w:szCs w:val="21"/>
          <w:highlight w:val="none"/>
        </w:rPr>
        <w:t>单的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s="宋体"/>
          <w:color w:val="auto"/>
          <w:sz w:val="21"/>
          <w:szCs w:val="21"/>
          <w:highlight w:val="none"/>
          <w:u w:val="single"/>
        </w:rPr>
        <w:t>在工程接收证书颁发后</w:t>
      </w:r>
      <w:r>
        <w:rPr>
          <w:rFonts w:ascii="宋体" w:hAnsi="宋体" w:cs="宋体"/>
          <w:color w:val="auto"/>
          <w:sz w:val="21"/>
          <w:szCs w:val="21"/>
          <w:highlight w:val="none"/>
          <w:u w:val="single"/>
        </w:rPr>
        <w:t>14</w:t>
      </w:r>
      <w:r>
        <w:rPr>
          <w:rFonts w:hint="eastAsia" w:ascii="宋体" w:hAnsi="宋体" w:cs="宋体"/>
          <w:color w:val="auto"/>
          <w:sz w:val="21"/>
          <w:szCs w:val="21"/>
          <w:highlight w:val="none"/>
          <w:u w:val="single"/>
        </w:rPr>
        <w:t>天内</w:t>
      </w:r>
    </w:p>
    <w:p>
      <w:pPr>
        <w:tabs>
          <w:tab w:val="left" w:pos="8453"/>
        </w:tabs>
        <w:adjustRightInd/>
        <w:spacing w:before="34"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3"/>
          <w:sz w:val="21"/>
          <w:szCs w:val="21"/>
          <w:highlight w:val="none"/>
        </w:rPr>
        <w:t>）</w:t>
      </w:r>
      <w:r>
        <w:rPr>
          <w:rFonts w:ascii="宋体" w:hAnsi="宋体"/>
          <w:color w:val="auto"/>
          <w:sz w:val="21"/>
          <w:szCs w:val="21"/>
          <w:highlight w:val="none"/>
        </w:rPr>
        <w:t>竣</w:t>
      </w:r>
      <w:r>
        <w:rPr>
          <w:rFonts w:ascii="宋体" w:hAnsi="宋体"/>
          <w:color w:val="auto"/>
          <w:spacing w:val="-3"/>
          <w:sz w:val="21"/>
          <w:szCs w:val="21"/>
          <w:highlight w:val="none"/>
        </w:rPr>
        <w:t>工</w:t>
      </w:r>
      <w:r>
        <w:rPr>
          <w:rFonts w:ascii="宋体" w:hAnsi="宋体"/>
          <w:color w:val="auto"/>
          <w:sz w:val="21"/>
          <w:szCs w:val="21"/>
          <w:highlight w:val="none"/>
        </w:rPr>
        <w:t>付</w:t>
      </w:r>
      <w:r>
        <w:rPr>
          <w:rFonts w:ascii="宋体" w:hAnsi="宋体"/>
          <w:color w:val="auto"/>
          <w:spacing w:val="-3"/>
          <w:sz w:val="21"/>
          <w:szCs w:val="21"/>
          <w:highlight w:val="none"/>
        </w:rPr>
        <w:t>款</w:t>
      </w:r>
      <w:r>
        <w:rPr>
          <w:rFonts w:ascii="宋体" w:hAnsi="宋体"/>
          <w:color w:val="auto"/>
          <w:sz w:val="21"/>
          <w:szCs w:val="21"/>
          <w:highlight w:val="none"/>
        </w:rPr>
        <w:t>申</w:t>
      </w:r>
      <w:r>
        <w:rPr>
          <w:rFonts w:ascii="宋体" w:hAnsi="宋体"/>
          <w:color w:val="auto"/>
          <w:spacing w:val="-3"/>
          <w:sz w:val="21"/>
          <w:szCs w:val="21"/>
          <w:highlight w:val="none"/>
        </w:rPr>
        <w:t>请</w:t>
      </w:r>
      <w:r>
        <w:rPr>
          <w:rFonts w:ascii="宋体" w:hAnsi="宋体"/>
          <w:color w:val="auto"/>
          <w:sz w:val="21"/>
          <w:szCs w:val="21"/>
          <w:highlight w:val="none"/>
        </w:rPr>
        <w:t>单</w:t>
      </w:r>
      <w:r>
        <w:rPr>
          <w:rFonts w:ascii="宋体" w:hAnsi="宋体"/>
          <w:color w:val="auto"/>
          <w:spacing w:val="-3"/>
          <w:sz w:val="21"/>
          <w:szCs w:val="21"/>
          <w:highlight w:val="none"/>
        </w:rPr>
        <w:t>的其</w:t>
      </w:r>
      <w:r>
        <w:rPr>
          <w:rFonts w:ascii="宋体" w:hAnsi="宋体"/>
          <w:color w:val="auto"/>
          <w:sz w:val="21"/>
          <w:szCs w:val="21"/>
          <w:highlight w:val="none"/>
        </w:rPr>
        <w:t>他内</w:t>
      </w:r>
      <w:r>
        <w:rPr>
          <w:rFonts w:ascii="宋体" w:hAnsi="宋体"/>
          <w:color w:val="auto"/>
          <w:spacing w:val="-3"/>
          <w:sz w:val="21"/>
          <w:szCs w:val="21"/>
          <w:highlight w:val="none"/>
        </w:rPr>
        <w:t>容</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1" w:line="220" w:lineRule="exact"/>
        <w:ind w:firstLine="0" w:firstLineChars="0"/>
        <w:textAlignment w:val="auto"/>
        <w:rPr>
          <w:rFonts w:ascii="Calibri" w:hAnsi="Calibri"/>
          <w:color w:val="auto"/>
          <w:sz w:val="22"/>
          <w:szCs w:val="22"/>
          <w:highlight w:val="none"/>
        </w:rPr>
      </w:pPr>
    </w:p>
    <w:p>
      <w:pPr>
        <w:numPr>
          <w:ilvl w:val="1"/>
          <w:numId w:val="13"/>
        </w:numPr>
        <w:tabs>
          <w:tab w:val="left" w:pos="877"/>
        </w:tabs>
        <w:adjustRightInd/>
        <w:spacing w:line="340" w:lineRule="exact"/>
        <w:ind w:left="878" w:firstLineChars="0"/>
        <w:jc w:val="both"/>
        <w:textAlignment w:val="auto"/>
        <w:rPr>
          <w:rFonts w:ascii="宋体" w:hAnsi="宋体" w:cs="宋体"/>
          <w:color w:val="auto"/>
          <w:szCs w:val="24"/>
          <w:highlight w:val="none"/>
          <w:lang w:eastAsia="en-US"/>
        </w:rPr>
      </w:pPr>
      <w:bookmarkStart w:id="819" w:name="_bookmark156"/>
      <w:bookmarkEnd w:id="819"/>
      <w:r>
        <w:rPr>
          <w:rFonts w:ascii="宋体" w:hAnsi="宋体" w:cs="宋体"/>
          <w:color w:val="auto"/>
          <w:szCs w:val="24"/>
          <w:highlight w:val="none"/>
          <w:lang w:eastAsia="en-US"/>
        </w:rPr>
        <w:t>最终结清</w:t>
      </w:r>
    </w:p>
    <w:p>
      <w:pPr>
        <w:adjustRightInd/>
        <w:spacing w:before="3" w:line="240" w:lineRule="exact"/>
        <w:ind w:firstLine="0" w:firstLineChars="0"/>
        <w:textAlignment w:val="auto"/>
        <w:rPr>
          <w:rFonts w:ascii="Calibri" w:hAnsi="Calibri"/>
          <w:color w:val="auto"/>
          <w:szCs w:val="24"/>
          <w:highlight w:val="none"/>
          <w:lang w:eastAsia="en-US"/>
        </w:rPr>
      </w:pPr>
    </w:p>
    <w:p>
      <w:pPr>
        <w:tabs>
          <w:tab w:val="left" w:pos="1420"/>
        </w:tabs>
        <w:adjustRightInd/>
        <w:spacing w:line="240" w:lineRule="auto"/>
        <w:ind w:left="578" w:firstLine="0" w:firstLineChars="0"/>
        <w:textAlignment w:val="auto"/>
        <w:rPr>
          <w:rFonts w:ascii="宋体" w:hAnsi="宋体"/>
          <w:color w:val="auto"/>
          <w:sz w:val="21"/>
          <w:szCs w:val="21"/>
          <w:highlight w:val="none"/>
          <w:lang w:eastAsia="en-US"/>
        </w:rPr>
      </w:pPr>
      <w:r>
        <w:rPr>
          <w:rFonts w:ascii="宋体" w:hAnsi="宋体" w:cs="宋体"/>
          <w:color w:val="auto"/>
          <w:sz w:val="21"/>
          <w:szCs w:val="21"/>
          <w:highlight w:val="none"/>
          <w:lang w:eastAsia="en-US"/>
        </w:rPr>
        <w:t>17.6.1</w:t>
      </w:r>
      <w:r>
        <w:rPr>
          <w:rFonts w:ascii="宋体" w:hAnsi="宋体" w:cs="宋体"/>
          <w:color w:val="auto"/>
          <w:sz w:val="21"/>
          <w:szCs w:val="21"/>
          <w:highlight w:val="none"/>
          <w:lang w:eastAsia="en-US"/>
        </w:rPr>
        <w:tab/>
      </w:r>
      <w:r>
        <w:rPr>
          <w:rFonts w:ascii="宋体" w:hAnsi="宋体"/>
          <w:color w:val="auto"/>
          <w:spacing w:val="-3"/>
          <w:sz w:val="21"/>
          <w:szCs w:val="21"/>
          <w:highlight w:val="none"/>
          <w:lang w:eastAsia="en-US"/>
        </w:rPr>
        <w:t>最</w:t>
      </w:r>
      <w:r>
        <w:rPr>
          <w:rFonts w:ascii="宋体" w:hAnsi="宋体"/>
          <w:color w:val="auto"/>
          <w:sz w:val="21"/>
          <w:szCs w:val="21"/>
          <w:highlight w:val="none"/>
          <w:lang w:eastAsia="en-US"/>
        </w:rPr>
        <w:t>终</w:t>
      </w:r>
      <w:r>
        <w:rPr>
          <w:rFonts w:ascii="宋体" w:hAnsi="宋体"/>
          <w:color w:val="auto"/>
          <w:spacing w:val="-3"/>
          <w:sz w:val="21"/>
          <w:szCs w:val="21"/>
          <w:highlight w:val="none"/>
          <w:lang w:eastAsia="en-US"/>
        </w:rPr>
        <w:t>结</w:t>
      </w:r>
      <w:r>
        <w:rPr>
          <w:rFonts w:ascii="宋体" w:hAnsi="宋体"/>
          <w:color w:val="auto"/>
          <w:sz w:val="21"/>
          <w:szCs w:val="21"/>
          <w:highlight w:val="none"/>
          <w:lang w:eastAsia="en-US"/>
        </w:rPr>
        <w:t>清</w:t>
      </w:r>
      <w:r>
        <w:rPr>
          <w:rFonts w:ascii="宋体" w:hAnsi="宋体"/>
          <w:color w:val="auto"/>
          <w:spacing w:val="-3"/>
          <w:sz w:val="21"/>
          <w:szCs w:val="21"/>
          <w:highlight w:val="none"/>
          <w:lang w:eastAsia="en-US"/>
        </w:rPr>
        <w:t>申</w:t>
      </w:r>
      <w:r>
        <w:rPr>
          <w:rFonts w:ascii="宋体" w:hAnsi="宋体"/>
          <w:color w:val="auto"/>
          <w:sz w:val="21"/>
          <w:szCs w:val="21"/>
          <w:highlight w:val="none"/>
          <w:lang w:eastAsia="en-US"/>
        </w:rPr>
        <w:t>请单</w:t>
      </w:r>
    </w:p>
    <w:p>
      <w:pPr>
        <w:adjustRightInd/>
        <w:spacing w:before="1" w:line="100" w:lineRule="exact"/>
        <w:ind w:firstLine="0" w:firstLineChars="0"/>
        <w:textAlignment w:val="auto"/>
        <w:rPr>
          <w:rFonts w:ascii="Calibri" w:hAnsi="Calibri"/>
          <w:color w:val="auto"/>
          <w:sz w:val="10"/>
          <w:szCs w:val="10"/>
          <w:highlight w:val="none"/>
          <w:lang w:eastAsia="en-US"/>
        </w:rPr>
      </w:pPr>
    </w:p>
    <w:p>
      <w:pPr>
        <w:tabs>
          <w:tab w:val="left" w:pos="3518"/>
          <w:tab w:val="left" w:pos="8468"/>
        </w:tabs>
        <w:adjustRightInd/>
        <w:spacing w:line="316" w:lineRule="auto"/>
        <w:ind w:left="1297" w:right="195" w:firstLine="0" w:firstLineChars="0"/>
        <w:textAlignment w:val="auto"/>
        <w:rPr>
          <w:rFonts w:ascii="宋体" w:hAnsi="宋体"/>
          <w:color w:val="auto"/>
          <w:sz w:val="21"/>
          <w:szCs w:val="21"/>
          <w:highlight w:val="none"/>
        </w:rPr>
      </w:pP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提</w:t>
      </w:r>
      <w:r>
        <w:rPr>
          <w:rFonts w:ascii="宋体" w:hAnsi="宋体"/>
          <w:color w:val="auto"/>
          <w:sz w:val="21"/>
          <w:szCs w:val="21"/>
          <w:highlight w:val="none"/>
        </w:rPr>
        <w:t>交</w:t>
      </w:r>
      <w:r>
        <w:rPr>
          <w:rFonts w:ascii="宋体" w:hAnsi="宋体"/>
          <w:color w:val="auto"/>
          <w:spacing w:val="-3"/>
          <w:sz w:val="21"/>
          <w:szCs w:val="21"/>
          <w:highlight w:val="none"/>
        </w:rPr>
        <w:t>最</w:t>
      </w:r>
      <w:r>
        <w:rPr>
          <w:rFonts w:ascii="宋体" w:hAnsi="宋体"/>
          <w:color w:val="auto"/>
          <w:sz w:val="21"/>
          <w:szCs w:val="21"/>
          <w:highlight w:val="none"/>
        </w:rPr>
        <w:t>终</w:t>
      </w:r>
      <w:r>
        <w:rPr>
          <w:rFonts w:ascii="宋体" w:hAnsi="宋体"/>
          <w:color w:val="auto"/>
          <w:spacing w:val="-3"/>
          <w:sz w:val="21"/>
          <w:szCs w:val="21"/>
          <w:highlight w:val="none"/>
        </w:rPr>
        <w:t>结清</w:t>
      </w:r>
      <w:r>
        <w:rPr>
          <w:rFonts w:ascii="宋体" w:hAnsi="宋体"/>
          <w:color w:val="auto"/>
          <w:sz w:val="21"/>
          <w:szCs w:val="21"/>
          <w:highlight w:val="none"/>
        </w:rPr>
        <w:t>申请</w:t>
      </w:r>
      <w:r>
        <w:rPr>
          <w:rFonts w:ascii="宋体" w:hAnsi="宋体"/>
          <w:color w:val="auto"/>
          <w:spacing w:val="-3"/>
          <w:sz w:val="21"/>
          <w:szCs w:val="21"/>
          <w:highlight w:val="none"/>
        </w:rPr>
        <w:t>单</w:t>
      </w:r>
      <w:r>
        <w:rPr>
          <w:rFonts w:ascii="宋体" w:hAnsi="宋体"/>
          <w:color w:val="auto"/>
          <w:sz w:val="21"/>
          <w:szCs w:val="21"/>
          <w:highlight w:val="none"/>
        </w:rPr>
        <w:t>的</w:t>
      </w:r>
      <w:r>
        <w:rPr>
          <w:rFonts w:ascii="宋体" w:hAnsi="宋体"/>
          <w:color w:val="auto"/>
          <w:spacing w:val="-3"/>
          <w:sz w:val="21"/>
          <w:szCs w:val="21"/>
          <w:highlight w:val="none"/>
        </w:rPr>
        <w:t>份</w:t>
      </w:r>
      <w:r>
        <w:rPr>
          <w:rFonts w:ascii="宋体" w:hAnsi="宋体"/>
          <w:color w:val="auto"/>
          <w:sz w:val="21"/>
          <w:szCs w:val="21"/>
          <w:highlight w:val="none"/>
        </w:rPr>
        <w:t>数</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5份</w:t>
      </w:r>
      <w:r>
        <w:rPr>
          <w:rFonts w:ascii="宋体" w:hAnsi="宋体"/>
          <w:color w:val="auto"/>
          <w:sz w:val="21"/>
          <w:szCs w:val="21"/>
          <w:highlight w:val="none"/>
          <w:u w:val="single" w:color="000000"/>
        </w:rPr>
        <w:tab/>
      </w:r>
    </w:p>
    <w:p>
      <w:pPr>
        <w:tabs>
          <w:tab w:val="left" w:pos="3518"/>
          <w:tab w:val="left" w:pos="8468"/>
        </w:tabs>
        <w:adjustRightInd/>
        <w:spacing w:line="316" w:lineRule="auto"/>
        <w:ind w:left="1297" w:right="195"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交</w:t>
      </w:r>
      <w:r>
        <w:rPr>
          <w:rFonts w:ascii="宋体" w:hAnsi="宋体"/>
          <w:color w:val="auto"/>
          <w:sz w:val="21"/>
          <w:szCs w:val="21"/>
          <w:highlight w:val="none"/>
        </w:rPr>
        <w:t>最</w:t>
      </w:r>
      <w:r>
        <w:rPr>
          <w:rFonts w:ascii="宋体" w:hAnsi="宋体"/>
          <w:color w:val="auto"/>
          <w:spacing w:val="-3"/>
          <w:sz w:val="21"/>
          <w:szCs w:val="21"/>
          <w:highlight w:val="none"/>
        </w:rPr>
        <w:t>终</w:t>
      </w:r>
      <w:r>
        <w:rPr>
          <w:rFonts w:ascii="宋体" w:hAnsi="宋体"/>
          <w:color w:val="auto"/>
          <w:sz w:val="21"/>
          <w:szCs w:val="21"/>
          <w:highlight w:val="none"/>
        </w:rPr>
        <w:t>结</w:t>
      </w:r>
      <w:r>
        <w:rPr>
          <w:rFonts w:ascii="宋体" w:hAnsi="宋体"/>
          <w:color w:val="auto"/>
          <w:spacing w:val="-3"/>
          <w:sz w:val="21"/>
          <w:szCs w:val="21"/>
          <w:highlight w:val="none"/>
        </w:rPr>
        <w:t>清</w:t>
      </w:r>
      <w:r>
        <w:rPr>
          <w:rFonts w:ascii="宋体" w:hAnsi="宋体"/>
          <w:color w:val="auto"/>
          <w:sz w:val="21"/>
          <w:szCs w:val="21"/>
          <w:highlight w:val="none"/>
        </w:rPr>
        <w:t>申</w:t>
      </w:r>
      <w:r>
        <w:rPr>
          <w:rFonts w:ascii="宋体" w:hAnsi="宋体"/>
          <w:color w:val="auto"/>
          <w:spacing w:val="-3"/>
          <w:sz w:val="21"/>
          <w:szCs w:val="21"/>
          <w:highlight w:val="none"/>
        </w:rPr>
        <w:t>请</w:t>
      </w:r>
      <w:r>
        <w:rPr>
          <w:rFonts w:ascii="宋体" w:hAnsi="宋体"/>
          <w:color w:val="auto"/>
          <w:sz w:val="21"/>
          <w:szCs w:val="21"/>
          <w:highlight w:val="none"/>
        </w:rPr>
        <w:t>单的</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s="宋体"/>
          <w:color w:val="auto"/>
          <w:sz w:val="21"/>
          <w:szCs w:val="21"/>
          <w:highlight w:val="none"/>
          <w:u w:val="single"/>
        </w:rPr>
        <w:t>在缺陷责任期终止证书颁发后</w:t>
      </w:r>
      <w:r>
        <w:rPr>
          <w:rFonts w:ascii="宋体" w:hAnsi="宋体" w:cs="宋体"/>
          <w:color w:val="auto"/>
          <w:sz w:val="21"/>
          <w:szCs w:val="21"/>
          <w:highlight w:val="none"/>
          <w:u w:val="single"/>
        </w:rPr>
        <w:t>28</w:t>
      </w:r>
      <w:r>
        <w:rPr>
          <w:rFonts w:hint="eastAsia" w:ascii="宋体" w:hAnsi="宋体" w:cs="宋体"/>
          <w:color w:val="auto"/>
          <w:sz w:val="21"/>
          <w:szCs w:val="21"/>
          <w:highlight w:val="none"/>
          <w:u w:val="single"/>
        </w:rPr>
        <w:t>天内</w:t>
      </w:r>
      <w:r>
        <w:rPr>
          <w:rFonts w:ascii="宋体" w:hAnsi="宋体"/>
          <w:color w:val="auto"/>
          <w:sz w:val="21"/>
          <w:szCs w:val="21"/>
          <w:highlight w:val="none"/>
          <w:u w:val="single" w:color="000000"/>
        </w:rPr>
        <w:tab/>
      </w:r>
    </w:p>
    <w:p>
      <w:pPr>
        <w:tabs>
          <w:tab w:val="left" w:pos="3518"/>
          <w:tab w:val="left" w:pos="8468"/>
        </w:tabs>
        <w:adjustRightInd/>
        <w:spacing w:line="316" w:lineRule="auto"/>
        <w:ind w:left="1297" w:right="195"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向</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2"/>
          <w:sz w:val="21"/>
          <w:szCs w:val="21"/>
          <w:highlight w:val="none"/>
        </w:rPr>
        <w:t>人</w:t>
      </w:r>
      <w:r>
        <w:rPr>
          <w:rFonts w:hint="eastAsia" w:ascii="宋体" w:hAnsi="宋体"/>
          <w:color w:val="auto"/>
          <w:spacing w:val="-2"/>
          <w:sz w:val="21"/>
          <w:szCs w:val="21"/>
          <w:highlight w:val="none"/>
          <w:u w:val="single" w:color="000000"/>
        </w:rPr>
        <w:t>不支付</w:t>
      </w:r>
      <w:r>
        <w:rPr>
          <w:rFonts w:ascii="宋体" w:hAnsi="宋体"/>
          <w:color w:val="auto"/>
          <w:sz w:val="21"/>
          <w:szCs w:val="21"/>
          <w:highlight w:val="none"/>
        </w:rPr>
        <w:t>（支付</w:t>
      </w:r>
      <w:r>
        <w:rPr>
          <w:rFonts w:ascii="宋体" w:hAnsi="宋体" w:cs="宋体"/>
          <w:color w:val="auto"/>
          <w:sz w:val="21"/>
          <w:szCs w:val="21"/>
          <w:highlight w:val="none"/>
        </w:rPr>
        <w:t>/</w:t>
      </w:r>
      <w:r>
        <w:rPr>
          <w:rFonts w:ascii="宋体" w:hAnsi="宋体"/>
          <w:color w:val="auto"/>
          <w:sz w:val="21"/>
          <w:szCs w:val="21"/>
          <w:highlight w:val="none"/>
        </w:rPr>
        <w:t>不</w:t>
      </w:r>
      <w:r>
        <w:rPr>
          <w:rFonts w:ascii="宋体" w:hAnsi="宋体"/>
          <w:color w:val="auto"/>
          <w:spacing w:val="-3"/>
          <w:sz w:val="21"/>
          <w:szCs w:val="21"/>
          <w:highlight w:val="none"/>
        </w:rPr>
        <w:t>支</w:t>
      </w:r>
      <w:r>
        <w:rPr>
          <w:rFonts w:ascii="宋体" w:hAnsi="宋体"/>
          <w:color w:val="auto"/>
          <w:sz w:val="21"/>
          <w:szCs w:val="21"/>
          <w:highlight w:val="none"/>
        </w:rPr>
        <w:t>付</w:t>
      </w:r>
      <w:r>
        <w:rPr>
          <w:rFonts w:ascii="宋体" w:hAnsi="宋体"/>
          <w:color w:val="auto"/>
          <w:spacing w:val="-3"/>
          <w:sz w:val="21"/>
          <w:szCs w:val="21"/>
          <w:highlight w:val="none"/>
        </w:rPr>
        <w:t>）</w:t>
      </w:r>
      <w:r>
        <w:rPr>
          <w:rFonts w:ascii="宋体" w:hAnsi="宋体"/>
          <w:color w:val="auto"/>
          <w:sz w:val="21"/>
          <w:szCs w:val="21"/>
          <w:highlight w:val="none"/>
        </w:rPr>
        <w:t>质</w:t>
      </w:r>
      <w:r>
        <w:rPr>
          <w:rFonts w:ascii="宋体" w:hAnsi="宋体"/>
          <w:color w:val="auto"/>
          <w:spacing w:val="-3"/>
          <w:sz w:val="21"/>
          <w:szCs w:val="21"/>
          <w:highlight w:val="none"/>
        </w:rPr>
        <w:t>量保</w:t>
      </w:r>
      <w:r>
        <w:rPr>
          <w:rFonts w:ascii="宋体" w:hAnsi="宋体"/>
          <w:color w:val="auto"/>
          <w:sz w:val="21"/>
          <w:szCs w:val="21"/>
          <w:highlight w:val="none"/>
        </w:rPr>
        <w:t>证金</w:t>
      </w:r>
      <w:r>
        <w:rPr>
          <w:rFonts w:ascii="宋体" w:hAnsi="宋体"/>
          <w:color w:val="auto"/>
          <w:spacing w:val="-3"/>
          <w:sz w:val="21"/>
          <w:szCs w:val="21"/>
          <w:highlight w:val="none"/>
        </w:rPr>
        <w:t>利</w:t>
      </w:r>
      <w:r>
        <w:rPr>
          <w:rFonts w:ascii="宋体" w:hAnsi="宋体"/>
          <w:color w:val="auto"/>
          <w:sz w:val="21"/>
          <w:szCs w:val="21"/>
          <w:highlight w:val="none"/>
        </w:rPr>
        <w:t xml:space="preserve">息。 </w:t>
      </w:r>
    </w:p>
    <w:p>
      <w:pPr>
        <w:tabs>
          <w:tab w:val="left" w:pos="3518"/>
          <w:tab w:val="left" w:pos="8468"/>
        </w:tabs>
        <w:adjustRightInd/>
        <w:spacing w:line="316" w:lineRule="auto"/>
        <w:ind w:left="1297" w:right="195" w:firstLine="0" w:firstLineChars="0"/>
        <w:textAlignment w:val="auto"/>
        <w:rPr>
          <w:rFonts w:ascii="宋体" w:hAnsi="宋体"/>
          <w:color w:val="auto"/>
          <w:sz w:val="21"/>
          <w:szCs w:val="21"/>
          <w:highlight w:val="none"/>
        </w:rPr>
      </w:pPr>
      <w:r>
        <w:rPr>
          <w:rFonts w:ascii="宋体" w:hAnsi="宋体"/>
          <w:color w:val="auto"/>
          <w:sz w:val="21"/>
          <w:szCs w:val="21"/>
          <w:highlight w:val="none"/>
        </w:rPr>
        <w:t>发包</w:t>
      </w:r>
      <w:r>
        <w:rPr>
          <w:rFonts w:ascii="宋体" w:hAnsi="宋体"/>
          <w:color w:val="auto"/>
          <w:spacing w:val="-3"/>
          <w:sz w:val="21"/>
          <w:szCs w:val="21"/>
          <w:highlight w:val="none"/>
        </w:rPr>
        <w:t>人</w:t>
      </w:r>
      <w:r>
        <w:rPr>
          <w:rFonts w:ascii="宋体" w:hAnsi="宋体"/>
          <w:color w:val="auto"/>
          <w:sz w:val="21"/>
          <w:szCs w:val="21"/>
          <w:highlight w:val="none"/>
        </w:rPr>
        <w:t>向</w:t>
      </w:r>
      <w:r>
        <w:rPr>
          <w:rFonts w:ascii="宋体" w:hAnsi="宋体"/>
          <w:color w:val="auto"/>
          <w:spacing w:val="-3"/>
          <w:sz w:val="21"/>
          <w:szCs w:val="21"/>
          <w:highlight w:val="none"/>
        </w:rPr>
        <w:t>承</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支</w:t>
      </w:r>
      <w:r>
        <w:rPr>
          <w:rFonts w:ascii="宋体" w:hAnsi="宋体"/>
          <w:color w:val="auto"/>
          <w:spacing w:val="-3"/>
          <w:sz w:val="21"/>
          <w:szCs w:val="21"/>
          <w:highlight w:val="none"/>
        </w:rPr>
        <w:t>付</w:t>
      </w:r>
      <w:r>
        <w:rPr>
          <w:rFonts w:ascii="宋体" w:hAnsi="宋体"/>
          <w:color w:val="auto"/>
          <w:sz w:val="21"/>
          <w:szCs w:val="21"/>
          <w:highlight w:val="none"/>
        </w:rPr>
        <w:t>质</w:t>
      </w:r>
      <w:r>
        <w:rPr>
          <w:rFonts w:ascii="宋体" w:hAnsi="宋体"/>
          <w:color w:val="auto"/>
          <w:spacing w:val="-3"/>
          <w:sz w:val="21"/>
          <w:szCs w:val="21"/>
          <w:highlight w:val="none"/>
        </w:rPr>
        <w:t>量</w:t>
      </w:r>
      <w:r>
        <w:rPr>
          <w:rFonts w:ascii="宋体" w:hAnsi="宋体"/>
          <w:color w:val="auto"/>
          <w:sz w:val="21"/>
          <w:szCs w:val="21"/>
          <w:highlight w:val="none"/>
        </w:rPr>
        <w:t>保证</w:t>
      </w:r>
      <w:r>
        <w:rPr>
          <w:rFonts w:ascii="宋体" w:hAnsi="宋体"/>
          <w:color w:val="auto"/>
          <w:spacing w:val="-3"/>
          <w:sz w:val="21"/>
          <w:szCs w:val="21"/>
          <w:highlight w:val="none"/>
        </w:rPr>
        <w:t>金</w:t>
      </w:r>
      <w:r>
        <w:rPr>
          <w:rFonts w:ascii="宋体" w:hAnsi="宋体"/>
          <w:color w:val="auto"/>
          <w:sz w:val="21"/>
          <w:szCs w:val="21"/>
          <w:highlight w:val="none"/>
        </w:rPr>
        <w:t>利</w:t>
      </w:r>
      <w:r>
        <w:rPr>
          <w:rFonts w:ascii="宋体" w:hAnsi="宋体"/>
          <w:color w:val="auto"/>
          <w:spacing w:val="-3"/>
          <w:sz w:val="21"/>
          <w:szCs w:val="21"/>
          <w:highlight w:val="none"/>
        </w:rPr>
        <w:t>息</w:t>
      </w:r>
      <w:r>
        <w:rPr>
          <w:rFonts w:ascii="宋体" w:hAnsi="宋体"/>
          <w:color w:val="auto"/>
          <w:sz w:val="21"/>
          <w:szCs w:val="21"/>
          <w:highlight w:val="none"/>
        </w:rPr>
        <w:t>的</w:t>
      </w:r>
      <w:r>
        <w:rPr>
          <w:rFonts w:ascii="宋体" w:hAnsi="宋体"/>
          <w:color w:val="auto"/>
          <w:spacing w:val="-3"/>
          <w:sz w:val="21"/>
          <w:szCs w:val="21"/>
          <w:highlight w:val="none"/>
        </w:rPr>
        <w:t>，</w:t>
      </w:r>
      <w:r>
        <w:rPr>
          <w:rFonts w:ascii="宋体" w:hAnsi="宋体"/>
          <w:color w:val="auto"/>
          <w:sz w:val="21"/>
          <w:szCs w:val="21"/>
          <w:highlight w:val="none"/>
        </w:rPr>
        <w:t>利</w:t>
      </w:r>
      <w:r>
        <w:rPr>
          <w:rFonts w:ascii="宋体" w:hAnsi="宋体"/>
          <w:color w:val="auto"/>
          <w:spacing w:val="-3"/>
          <w:sz w:val="21"/>
          <w:szCs w:val="21"/>
          <w:highlight w:val="none"/>
        </w:rPr>
        <w:t>息</w:t>
      </w:r>
      <w:r>
        <w:rPr>
          <w:rFonts w:ascii="宋体" w:hAnsi="宋体"/>
          <w:color w:val="auto"/>
          <w:sz w:val="21"/>
          <w:szCs w:val="21"/>
          <w:highlight w:val="none"/>
        </w:rPr>
        <w:t>计</w:t>
      </w:r>
      <w:r>
        <w:rPr>
          <w:rFonts w:ascii="宋体" w:hAnsi="宋体"/>
          <w:color w:val="auto"/>
          <w:spacing w:val="-3"/>
          <w:sz w:val="21"/>
          <w:szCs w:val="21"/>
          <w:highlight w:val="none"/>
        </w:rPr>
        <w:t>算</w:t>
      </w:r>
      <w:r>
        <w:rPr>
          <w:rFonts w:ascii="宋体" w:hAnsi="宋体"/>
          <w:color w:val="auto"/>
          <w:sz w:val="21"/>
          <w:szCs w:val="21"/>
          <w:highlight w:val="none"/>
        </w:rPr>
        <w:t>方法</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8" w:line="150" w:lineRule="exact"/>
        <w:ind w:firstLine="0" w:firstLineChars="0"/>
        <w:textAlignment w:val="auto"/>
        <w:rPr>
          <w:rFonts w:ascii="Calibri" w:hAnsi="Calibri"/>
          <w:color w:val="auto"/>
          <w:sz w:val="15"/>
          <w:szCs w:val="15"/>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20" w:name="_bookmark157"/>
      <w:bookmarkEnd w:id="820"/>
      <w:r>
        <w:rPr>
          <w:rFonts w:ascii="宋体" w:hAnsi="宋体" w:cs="宋体"/>
          <w:color w:val="auto"/>
          <w:sz w:val="28"/>
          <w:szCs w:val="28"/>
          <w:highlight w:val="none"/>
        </w:rPr>
        <w:t>1</w:t>
      </w:r>
      <w:r>
        <w:rPr>
          <w:rFonts w:ascii="宋体" w:hAnsi="宋体" w:cs="宋体"/>
          <w:color w:val="auto"/>
          <w:spacing w:val="-2"/>
          <w:sz w:val="28"/>
          <w:szCs w:val="28"/>
          <w:highlight w:val="none"/>
        </w:rPr>
        <w:t>8</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竣</w:t>
      </w:r>
      <w:r>
        <w:rPr>
          <w:rFonts w:ascii="宋体" w:hAnsi="宋体" w:cs="宋体"/>
          <w:color w:val="auto"/>
          <w:sz w:val="28"/>
          <w:szCs w:val="28"/>
          <w:highlight w:val="none"/>
        </w:rPr>
        <w:t>工验收</w:t>
      </w:r>
    </w:p>
    <w:p>
      <w:pPr>
        <w:adjustRightInd/>
        <w:spacing w:before="7" w:line="260" w:lineRule="exact"/>
        <w:ind w:firstLine="0" w:firstLineChars="0"/>
        <w:textAlignment w:val="auto"/>
        <w:rPr>
          <w:rFonts w:ascii="Calibri" w:hAnsi="Calibri"/>
          <w:color w:val="auto"/>
          <w:sz w:val="26"/>
          <w:szCs w:val="26"/>
          <w:highlight w:val="none"/>
        </w:rPr>
      </w:pPr>
    </w:p>
    <w:p>
      <w:pPr>
        <w:numPr>
          <w:ilvl w:val="1"/>
          <w:numId w:val="14"/>
        </w:numPr>
        <w:tabs>
          <w:tab w:val="left" w:pos="877"/>
        </w:tabs>
        <w:adjustRightInd/>
        <w:spacing w:line="240" w:lineRule="auto"/>
        <w:ind w:firstLineChars="0"/>
        <w:jc w:val="both"/>
        <w:textAlignment w:val="auto"/>
        <w:rPr>
          <w:rFonts w:ascii="宋体" w:hAnsi="宋体" w:cs="宋体"/>
          <w:color w:val="auto"/>
          <w:szCs w:val="24"/>
          <w:highlight w:val="none"/>
        </w:rPr>
      </w:pPr>
      <w:bookmarkStart w:id="821" w:name="_bookmark158"/>
      <w:bookmarkEnd w:id="821"/>
      <w:r>
        <w:rPr>
          <w:rFonts w:ascii="宋体" w:hAnsi="宋体" w:cs="宋体"/>
          <w:color w:val="auto"/>
          <w:szCs w:val="24"/>
          <w:highlight w:val="none"/>
        </w:rPr>
        <w:t>竣工验收申请报告</w:t>
      </w:r>
    </w:p>
    <w:p>
      <w:pPr>
        <w:tabs>
          <w:tab w:val="left" w:pos="877"/>
        </w:tabs>
        <w:adjustRightInd/>
        <w:spacing w:line="240" w:lineRule="auto"/>
        <w:ind w:left="158" w:firstLine="0" w:firstLineChars="0"/>
        <w:textAlignment w:val="auto"/>
        <w:rPr>
          <w:rFonts w:ascii="宋体" w:hAnsi="宋体" w:cs="宋体"/>
          <w:color w:val="auto"/>
          <w:szCs w:val="24"/>
          <w:highlight w:val="none"/>
        </w:rPr>
      </w:pPr>
    </w:p>
    <w:p>
      <w:pPr>
        <w:tabs>
          <w:tab w:val="left" w:pos="8470"/>
        </w:tabs>
        <w:adjustRightInd/>
        <w:ind w:firstLine="840" w:firstLineChars="400"/>
        <w:textAlignment w:val="auto"/>
        <w:rPr>
          <w:rFonts w:ascii="宋体" w:hAnsi="宋体"/>
          <w:color w:val="auto"/>
          <w:sz w:val="21"/>
          <w:szCs w:val="21"/>
          <w:highlight w:val="none"/>
          <w:u w:val="single" w:color="000000"/>
        </w:rPr>
      </w:pP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负</w:t>
      </w:r>
      <w:r>
        <w:rPr>
          <w:rFonts w:ascii="宋体" w:hAnsi="宋体"/>
          <w:color w:val="auto"/>
          <w:sz w:val="21"/>
          <w:szCs w:val="21"/>
          <w:highlight w:val="none"/>
        </w:rPr>
        <w:t>责</w:t>
      </w:r>
      <w:r>
        <w:rPr>
          <w:rFonts w:ascii="宋体" w:hAnsi="宋体"/>
          <w:color w:val="auto"/>
          <w:spacing w:val="-3"/>
          <w:sz w:val="21"/>
          <w:szCs w:val="21"/>
          <w:highlight w:val="none"/>
        </w:rPr>
        <w:t>整</w:t>
      </w:r>
      <w:r>
        <w:rPr>
          <w:rFonts w:ascii="宋体" w:hAnsi="宋体"/>
          <w:color w:val="auto"/>
          <w:sz w:val="21"/>
          <w:szCs w:val="21"/>
          <w:highlight w:val="none"/>
        </w:rPr>
        <w:t>理</w:t>
      </w:r>
      <w:r>
        <w:rPr>
          <w:rFonts w:ascii="宋体" w:hAnsi="宋体"/>
          <w:color w:val="auto"/>
          <w:spacing w:val="-3"/>
          <w:sz w:val="21"/>
          <w:szCs w:val="21"/>
          <w:highlight w:val="none"/>
        </w:rPr>
        <w:t>和提</w:t>
      </w:r>
      <w:r>
        <w:rPr>
          <w:rFonts w:ascii="宋体" w:hAnsi="宋体"/>
          <w:color w:val="auto"/>
          <w:sz w:val="21"/>
          <w:szCs w:val="21"/>
          <w:highlight w:val="none"/>
        </w:rPr>
        <w:t>交的</w:t>
      </w:r>
      <w:r>
        <w:rPr>
          <w:rFonts w:ascii="宋体" w:hAnsi="宋体"/>
          <w:color w:val="auto"/>
          <w:spacing w:val="-3"/>
          <w:sz w:val="21"/>
          <w:szCs w:val="21"/>
          <w:highlight w:val="none"/>
        </w:rPr>
        <w:t>竣</w:t>
      </w:r>
      <w:r>
        <w:rPr>
          <w:rFonts w:ascii="宋体" w:hAnsi="宋体"/>
          <w:color w:val="auto"/>
          <w:sz w:val="21"/>
          <w:szCs w:val="21"/>
          <w:highlight w:val="none"/>
        </w:rPr>
        <w:t>工</w:t>
      </w:r>
      <w:r>
        <w:rPr>
          <w:rFonts w:ascii="宋体" w:hAnsi="宋体"/>
          <w:color w:val="auto"/>
          <w:spacing w:val="-3"/>
          <w:sz w:val="21"/>
          <w:szCs w:val="21"/>
          <w:highlight w:val="none"/>
        </w:rPr>
        <w:t>验</w:t>
      </w:r>
      <w:r>
        <w:rPr>
          <w:rFonts w:ascii="宋体" w:hAnsi="宋体"/>
          <w:color w:val="auto"/>
          <w:sz w:val="21"/>
          <w:szCs w:val="21"/>
          <w:highlight w:val="none"/>
        </w:rPr>
        <w:t>收</w:t>
      </w:r>
      <w:r>
        <w:rPr>
          <w:rFonts w:ascii="宋体" w:hAnsi="宋体"/>
          <w:color w:val="auto"/>
          <w:spacing w:val="-3"/>
          <w:sz w:val="21"/>
          <w:szCs w:val="21"/>
          <w:highlight w:val="none"/>
        </w:rPr>
        <w:t>资</w:t>
      </w:r>
      <w:r>
        <w:rPr>
          <w:rFonts w:ascii="宋体" w:hAnsi="宋体"/>
          <w:color w:val="auto"/>
          <w:sz w:val="21"/>
          <w:szCs w:val="21"/>
          <w:highlight w:val="none"/>
        </w:rPr>
        <w:t>料</w:t>
      </w:r>
      <w:r>
        <w:rPr>
          <w:rFonts w:ascii="宋体" w:hAnsi="宋体"/>
          <w:color w:val="auto"/>
          <w:spacing w:val="-3"/>
          <w:sz w:val="21"/>
          <w:szCs w:val="21"/>
          <w:highlight w:val="none"/>
        </w:rPr>
        <w:t>具</w:t>
      </w:r>
      <w:r>
        <w:rPr>
          <w:rFonts w:ascii="宋体" w:hAnsi="宋体"/>
          <w:color w:val="auto"/>
          <w:sz w:val="21"/>
          <w:szCs w:val="21"/>
          <w:highlight w:val="none"/>
        </w:rPr>
        <w:t>体</w:t>
      </w:r>
      <w:r>
        <w:rPr>
          <w:rFonts w:ascii="宋体" w:hAnsi="宋体"/>
          <w:color w:val="auto"/>
          <w:spacing w:val="-3"/>
          <w:sz w:val="21"/>
          <w:szCs w:val="21"/>
          <w:highlight w:val="none"/>
        </w:rPr>
        <w:t>内</w:t>
      </w:r>
      <w:r>
        <w:rPr>
          <w:rFonts w:ascii="宋体" w:hAnsi="宋体"/>
          <w:color w:val="auto"/>
          <w:sz w:val="21"/>
          <w:szCs w:val="21"/>
          <w:highlight w:val="none"/>
        </w:rPr>
        <w:t>容：</w:t>
      </w:r>
      <w:r>
        <w:rPr>
          <w:rFonts w:hint="eastAsia" w:ascii="宋体" w:hAnsi="宋体"/>
          <w:color w:val="auto"/>
          <w:sz w:val="21"/>
          <w:szCs w:val="21"/>
          <w:highlight w:val="none"/>
          <w:u w:val="single"/>
        </w:rPr>
        <w:t>承包人应在工程竣工后90天内提供全部工程竣工图纸，竣工图纸要求达到档案管理的要求。承包人应在工程竣工后90天内向发包人及使用方提交的其他资料：详细使用说明书，重要设备供应合同及验收复印件，主要材料厂商联系清单。</w:t>
      </w:r>
    </w:p>
    <w:p>
      <w:pPr>
        <w:adjustRightInd/>
        <w:spacing w:line="480" w:lineRule="exact"/>
        <w:ind w:left="578" w:firstLine="0" w:firstLineChars="0"/>
        <w:textAlignment w:val="auto"/>
        <w:rPr>
          <w:rFonts w:ascii="仿宋" w:hAnsi="仿宋" w:eastAsia="仿宋"/>
          <w:color w:val="auto"/>
          <w:sz w:val="21"/>
          <w:szCs w:val="21"/>
          <w:highlight w:val="none"/>
          <w:u w:val="single"/>
        </w:rPr>
      </w:pPr>
      <w:r>
        <w:rPr>
          <w:rFonts w:hint="eastAsia" w:ascii="宋体" w:hAnsi="宋体"/>
          <w:color w:val="auto"/>
          <w:sz w:val="21"/>
          <w:szCs w:val="21"/>
          <w:highlight w:val="none"/>
        </w:rPr>
        <w:t>竣工验收资料的份数：</w:t>
      </w:r>
      <w:r>
        <w:rPr>
          <w:rFonts w:hint="eastAsia" w:ascii="宋体" w:hAnsi="宋体"/>
          <w:color w:val="auto"/>
          <w:sz w:val="21"/>
          <w:szCs w:val="21"/>
          <w:highlight w:val="none"/>
          <w:u w:val="single"/>
        </w:rPr>
        <w:t>一式三份。</w:t>
      </w:r>
    </w:p>
    <w:p>
      <w:pPr>
        <w:adjustRightInd/>
        <w:spacing w:line="480" w:lineRule="exact"/>
        <w:ind w:firstLine="630" w:firstLineChars="300"/>
        <w:textAlignment w:val="auto"/>
        <w:rPr>
          <w:rFonts w:ascii="宋体" w:hAnsi="宋体"/>
          <w:color w:val="auto"/>
          <w:sz w:val="21"/>
          <w:szCs w:val="21"/>
          <w:highlight w:val="none"/>
        </w:rPr>
      </w:pPr>
      <w:r>
        <w:rPr>
          <w:rFonts w:hint="eastAsia" w:ascii="宋体" w:hAnsi="宋体"/>
          <w:color w:val="auto"/>
          <w:sz w:val="21"/>
          <w:szCs w:val="21"/>
          <w:highlight w:val="none"/>
        </w:rPr>
        <w:t>竣工验收资料的费用支付方式：</w:t>
      </w:r>
      <w:r>
        <w:rPr>
          <w:rFonts w:hint="eastAsia" w:ascii="宋体" w:hAnsi="宋体"/>
          <w:color w:val="auto"/>
          <w:sz w:val="21"/>
          <w:szCs w:val="21"/>
          <w:highlight w:val="none"/>
          <w:u w:val="single"/>
        </w:rPr>
        <w:t>已包含在签约合同价中</w:t>
      </w:r>
      <w:r>
        <w:rPr>
          <w:rFonts w:hint="eastAsia" w:ascii="仿宋" w:hAnsi="仿宋" w:eastAsia="仿宋"/>
          <w:color w:val="auto"/>
          <w:sz w:val="21"/>
          <w:szCs w:val="21"/>
          <w:highlight w:val="none"/>
          <w:u w:val="single"/>
        </w:rPr>
        <w:t>。</w:t>
      </w:r>
    </w:p>
    <w:p>
      <w:pPr>
        <w:adjustRightInd/>
        <w:spacing w:before="3" w:line="150" w:lineRule="exact"/>
        <w:ind w:firstLine="0" w:firstLineChars="0"/>
        <w:textAlignment w:val="auto"/>
        <w:rPr>
          <w:rFonts w:ascii="Calibri" w:hAnsi="Calibri"/>
          <w:color w:val="auto"/>
          <w:sz w:val="15"/>
          <w:szCs w:val="15"/>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22" w:name="_bookmark159"/>
      <w:bookmarkEnd w:id="822"/>
      <w:r>
        <w:rPr>
          <w:rFonts w:ascii="宋体" w:hAnsi="宋体" w:cs="宋体"/>
          <w:color w:val="auto"/>
          <w:szCs w:val="24"/>
          <w:highlight w:val="none"/>
        </w:rPr>
        <w:t>18.5</w:t>
      </w:r>
      <w:r>
        <w:rPr>
          <w:rFonts w:ascii="宋体" w:hAnsi="宋体" w:cs="宋体"/>
          <w:color w:val="auto"/>
          <w:szCs w:val="24"/>
          <w:highlight w:val="none"/>
        </w:rPr>
        <w:tab/>
      </w:r>
      <w:r>
        <w:rPr>
          <w:rFonts w:ascii="宋体" w:hAnsi="宋体" w:cs="宋体"/>
          <w:color w:val="auto"/>
          <w:szCs w:val="24"/>
          <w:highlight w:val="none"/>
        </w:rPr>
        <w:t>施工期运行</w:t>
      </w:r>
    </w:p>
    <w:p>
      <w:pPr>
        <w:adjustRightInd/>
        <w:spacing w:before="3" w:line="240" w:lineRule="exact"/>
        <w:ind w:firstLine="0" w:firstLineChars="0"/>
        <w:textAlignment w:val="auto"/>
        <w:rPr>
          <w:rFonts w:ascii="Calibri" w:hAnsi="Calibri"/>
          <w:color w:val="auto"/>
          <w:szCs w:val="24"/>
          <w:highlight w:val="none"/>
        </w:rPr>
      </w:pPr>
    </w:p>
    <w:p>
      <w:pPr>
        <w:tabs>
          <w:tab w:val="left" w:pos="1420"/>
          <w:tab w:val="left" w:pos="8456"/>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18.5.1</w:t>
      </w:r>
      <w:r>
        <w:rPr>
          <w:rFonts w:ascii="宋体" w:hAnsi="宋体" w:cs="宋体"/>
          <w:color w:val="auto"/>
          <w:sz w:val="21"/>
          <w:szCs w:val="21"/>
          <w:highlight w:val="none"/>
        </w:rPr>
        <w:tab/>
      </w:r>
      <w:r>
        <w:rPr>
          <w:rFonts w:ascii="宋体" w:hAnsi="宋体"/>
          <w:color w:val="auto"/>
          <w:spacing w:val="-3"/>
          <w:sz w:val="21"/>
          <w:szCs w:val="21"/>
          <w:highlight w:val="none"/>
        </w:rPr>
        <w:t>需</w:t>
      </w:r>
      <w:r>
        <w:rPr>
          <w:rFonts w:ascii="宋体" w:hAnsi="宋体"/>
          <w:color w:val="auto"/>
          <w:sz w:val="21"/>
          <w:szCs w:val="21"/>
          <w:highlight w:val="none"/>
        </w:rPr>
        <w:t>要</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期</w:t>
      </w:r>
      <w:r>
        <w:rPr>
          <w:rFonts w:ascii="宋体" w:hAnsi="宋体"/>
          <w:color w:val="auto"/>
          <w:sz w:val="21"/>
          <w:szCs w:val="21"/>
          <w:highlight w:val="none"/>
        </w:rPr>
        <w:t>运</w:t>
      </w:r>
      <w:r>
        <w:rPr>
          <w:rFonts w:ascii="宋体" w:hAnsi="宋体"/>
          <w:color w:val="auto"/>
          <w:spacing w:val="-3"/>
          <w:sz w:val="21"/>
          <w:szCs w:val="21"/>
          <w:highlight w:val="none"/>
        </w:rPr>
        <w:t>行</w:t>
      </w:r>
      <w:r>
        <w:rPr>
          <w:rFonts w:ascii="宋体" w:hAnsi="宋体"/>
          <w:color w:val="auto"/>
          <w:sz w:val="21"/>
          <w:szCs w:val="21"/>
          <w:highlight w:val="none"/>
        </w:rPr>
        <w:t>的单</w:t>
      </w:r>
      <w:r>
        <w:rPr>
          <w:rFonts w:ascii="宋体" w:hAnsi="宋体"/>
          <w:color w:val="auto"/>
          <w:spacing w:val="-3"/>
          <w:sz w:val="21"/>
          <w:szCs w:val="21"/>
          <w:highlight w:val="none"/>
        </w:rPr>
        <w:t>位</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或</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安</w:t>
      </w:r>
      <w:r>
        <w:rPr>
          <w:rFonts w:ascii="宋体" w:hAnsi="宋体"/>
          <w:color w:val="auto"/>
          <w:sz w:val="21"/>
          <w:szCs w:val="21"/>
          <w:highlight w:val="none"/>
        </w:rPr>
        <w:t>装</w:t>
      </w:r>
      <w:r>
        <w:rPr>
          <w:rFonts w:ascii="宋体" w:hAnsi="宋体"/>
          <w:color w:val="auto"/>
          <w:spacing w:val="-3"/>
          <w:sz w:val="21"/>
          <w:szCs w:val="21"/>
          <w:highlight w:val="none"/>
        </w:rPr>
        <w:t>工</w:t>
      </w:r>
      <w:r>
        <w:rPr>
          <w:rFonts w:ascii="宋体" w:hAnsi="宋体"/>
          <w:color w:val="auto"/>
          <w:sz w:val="21"/>
          <w:szCs w:val="21"/>
          <w:highlight w:val="none"/>
        </w:rPr>
        <w:t>程：</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2"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23" w:name="_bookmark160"/>
      <w:bookmarkEnd w:id="823"/>
      <w:r>
        <w:rPr>
          <w:rFonts w:ascii="宋体" w:hAnsi="宋体" w:cs="宋体"/>
          <w:color w:val="auto"/>
          <w:szCs w:val="24"/>
          <w:highlight w:val="none"/>
        </w:rPr>
        <w:t>18.8</w:t>
      </w:r>
      <w:r>
        <w:rPr>
          <w:rFonts w:ascii="宋体" w:hAnsi="宋体" w:cs="宋体"/>
          <w:color w:val="auto"/>
          <w:szCs w:val="24"/>
          <w:highlight w:val="none"/>
        </w:rPr>
        <w:tab/>
      </w:r>
      <w:r>
        <w:rPr>
          <w:rFonts w:ascii="宋体" w:hAnsi="宋体" w:cs="宋体"/>
          <w:color w:val="auto"/>
          <w:szCs w:val="24"/>
          <w:highlight w:val="none"/>
        </w:rPr>
        <w:t>施工队伍的撤离</w:t>
      </w:r>
    </w:p>
    <w:p>
      <w:pPr>
        <w:adjustRightInd/>
        <w:spacing w:before="5" w:line="240" w:lineRule="exact"/>
        <w:ind w:firstLine="0" w:firstLineChars="0"/>
        <w:textAlignment w:val="auto"/>
        <w:rPr>
          <w:rFonts w:ascii="Calibri" w:hAnsi="Calibri"/>
          <w:color w:val="auto"/>
          <w:szCs w:val="24"/>
          <w:highlight w:val="none"/>
        </w:rPr>
      </w:pPr>
    </w:p>
    <w:p>
      <w:pPr>
        <w:tabs>
          <w:tab w:val="left" w:pos="142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18.8.3</w:t>
      </w:r>
      <w:r>
        <w:rPr>
          <w:rFonts w:ascii="宋体" w:hAnsi="宋体" w:cs="宋体"/>
          <w:color w:val="auto"/>
          <w:sz w:val="21"/>
          <w:szCs w:val="21"/>
          <w:highlight w:val="none"/>
        </w:rPr>
        <w:tab/>
      </w:r>
      <w:r>
        <w:rPr>
          <w:rFonts w:ascii="宋体" w:hAnsi="宋体"/>
          <w:color w:val="auto"/>
          <w:spacing w:val="-3"/>
          <w:sz w:val="21"/>
          <w:szCs w:val="21"/>
          <w:highlight w:val="none"/>
        </w:rPr>
        <w:t>缺</w:t>
      </w:r>
      <w:r>
        <w:rPr>
          <w:rFonts w:ascii="宋体" w:hAnsi="宋体"/>
          <w:color w:val="auto"/>
          <w:sz w:val="21"/>
          <w:szCs w:val="21"/>
          <w:highlight w:val="none"/>
        </w:rPr>
        <w:t>陷</w:t>
      </w:r>
      <w:r>
        <w:rPr>
          <w:rFonts w:ascii="宋体" w:hAnsi="宋体"/>
          <w:color w:val="auto"/>
          <w:spacing w:val="-3"/>
          <w:sz w:val="21"/>
          <w:szCs w:val="21"/>
          <w:highlight w:val="none"/>
        </w:rPr>
        <w:t>责</w:t>
      </w:r>
      <w:r>
        <w:rPr>
          <w:rFonts w:ascii="宋体" w:hAnsi="宋体"/>
          <w:color w:val="auto"/>
          <w:sz w:val="21"/>
          <w:szCs w:val="21"/>
          <w:highlight w:val="none"/>
        </w:rPr>
        <w:t>任</w:t>
      </w:r>
      <w:r>
        <w:rPr>
          <w:rFonts w:ascii="宋体" w:hAnsi="宋体"/>
          <w:color w:val="auto"/>
          <w:spacing w:val="-3"/>
          <w:sz w:val="21"/>
          <w:szCs w:val="21"/>
          <w:highlight w:val="none"/>
        </w:rPr>
        <w:t>期</w:t>
      </w:r>
      <w:r>
        <w:rPr>
          <w:rFonts w:ascii="宋体" w:hAnsi="宋体"/>
          <w:color w:val="auto"/>
          <w:sz w:val="21"/>
          <w:szCs w:val="21"/>
          <w:highlight w:val="none"/>
        </w:rPr>
        <w:t>满</w:t>
      </w:r>
      <w:r>
        <w:rPr>
          <w:rFonts w:ascii="宋体" w:hAnsi="宋体"/>
          <w:color w:val="auto"/>
          <w:spacing w:val="-3"/>
          <w:sz w:val="21"/>
          <w:szCs w:val="21"/>
          <w:highlight w:val="none"/>
        </w:rPr>
        <w:t>时</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在</w:t>
      </w:r>
      <w:r>
        <w:rPr>
          <w:rFonts w:ascii="宋体" w:hAnsi="宋体"/>
          <w:color w:val="auto"/>
          <w:sz w:val="21"/>
          <w:szCs w:val="21"/>
          <w:highlight w:val="none"/>
        </w:rPr>
        <w:t>施</w:t>
      </w:r>
      <w:r>
        <w:rPr>
          <w:rFonts w:ascii="宋体" w:hAnsi="宋体"/>
          <w:color w:val="auto"/>
          <w:spacing w:val="-3"/>
          <w:sz w:val="21"/>
          <w:szCs w:val="21"/>
          <w:highlight w:val="none"/>
        </w:rPr>
        <w:t>工</w:t>
      </w:r>
      <w:r>
        <w:rPr>
          <w:rFonts w:ascii="宋体" w:hAnsi="宋体"/>
          <w:color w:val="auto"/>
          <w:sz w:val="21"/>
          <w:szCs w:val="21"/>
          <w:highlight w:val="none"/>
        </w:rPr>
        <w:t>场</w:t>
      </w:r>
      <w:r>
        <w:rPr>
          <w:rFonts w:ascii="宋体" w:hAnsi="宋体"/>
          <w:color w:val="auto"/>
          <w:spacing w:val="-3"/>
          <w:sz w:val="21"/>
          <w:szCs w:val="21"/>
          <w:highlight w:val="none"/>
        </w:rPr>
        <w:t>地</w:t>
      </w:r>
      <w:r>
        <w:rPr>
          <w:rFonts w:ascii="宋体" w:hAnsi="宋体"/>
          <w:color w:val="auto"/>
          <w:sz w:val="21"/>
          <w:szCs w:val="21"/>
          <w:highlight w:val="none"/>
        </w:rPr>
        <w:t>保</w:t>
      </w:r>
      <w:r>
        <w:rPr>
          <w:rFonts w:ascii="宋体" w:hAnsi="宋体"/>
          <w:color w:val="auto"/>
          <w:spacing w:val="-3"/>
          <w:sz w:val="21"/>
          <w:szCs w:val="21"/>
          <w:highlight w:val="none"/>
        </w:rPr>
        <w:t>留</w:t>
      </w:r>
      <w:r>
        <w:rPr>
          <w:rFonts w:ascii="宋体" w:hAnsi="宋体"/>
          <w:color w:val="auto"/>
          <w:sz w:val="21"/>
          <w:szCs w:val="21"/>
          <w:highlight w:val="none"/>
        </w:rPr>
        <w:t>的人</w:t>
      </w:r>
      <w:r>
        <w:rPr>
          <w:rFonts w:ascii="宋体" w:hAnsi="宋体"/>
          <w:color w:val="auto"/>
          <w:spacing w:val="-3"/>
          <w:sz w:val="21"/>
          <w:szCs w:val="21"/>
          <w:highlight w:val="none"/>
        </w:rPr>
        <w:t>员</w:t>
      </w:r>
      <w:r>
        <w:rPr>
          <w:rFonts w:ascii="宋体" w:hAnsi="宋体"/>
          <w:color w:val="auto"/>
          <w:sz w:val="21"/>
          <w:szCs w:val="21"/>
          <w:highlight w:val="none"/>
        </w:rPr>
        <w:t>和</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最</w:t>
      </w:r>
      <w:r>
        <w:rPr>
          <w:rFonts w:ascii="宋体" w:hAnsi="宋体"/>
          <w:color w:val="auto"/>
          <w:sz w:val="21"/>
          <w:szCs w:val="21"/>
          <w:highlight w:val="none"/>
        </w:rPr>
        <w:t>终</w:t>
      </w:r>
      <w:r>
        <w:rPr>
          <w:rFonts w:ascii="宋体" w:hAnsi="宋体"/>
          <w:color w:val="auto"/>
          <w:spacing w:val="-3"/>
          <w:sz w:val="21"/>
          <w:szCs w:val="21"/>
          <w:highlight w:val="none"/>
        </w:rPr>
        <w:t>撤</w:t>
      </w:r>
      <w:r>
        <w:rPr>
          <w:rFonts w:ascii="宋体" w:hAnsi="宋体"/>
          <w:color w:val="auto"/>
          <w:sz w:val="21"/>
          <w:szCs w:val="21"/>
          <w:highlight w:val="none"/>
        </w:rPr>
        <w:t>离</w:t>
      </w:r>
      <w:r>
        <w:rPr>
          <w:rFonts w:ascii="宋体" w:hAnsi="宋体"/>
          <w:color w:val="auto"/>
          <w:spacing w:val="-3"/>
          <w:sz w:val="21"/>
          <w:szCs w:val="21"/>
          <w:highlight w:val="none"/>
        </w:rPr>
        <w:t>的期限</w:t>
      </w:r>
      <w:r>
        <w:rPr>
          <w:rFonts w:ascii="宋体" w:hAnsi="宋体"/>
          <w:color w:val="auto"/>
          <w:sz w:val="21"/>
          <w:szCs w:val="21"/>
          <w:highlight w:val="none"/>
        </w:rPr>
        <w:t>：</w:t>
      </w:r>
    </w:p>
    <w:p>
      <w:pPr>
        <w:adjustRightInd/>
        <w:spacing w:line="200" w:lineRule="exact"/>
        <w:ind w:firstLine="0" w:firstLineChars="0"/>
        <w:textAlignment w:val="auto"/>
        <w:rPr>
          <w:rFonts w:ascii="Calibri" w:hAnsi="Calibri"/>
          <w:color w:val="auto"/>
          <w:sz w:val="20"/>
          <w:highlight w:val="none"/>
        </w:rPr>
      </w:pPr>
    </w:p>
    <w:p>
      <w:pPr>
        <w:adjustRightInd/>
        <w:spacing w:line="200" w:lineRule="exact"/>
        <w:ind w:firstLine="0" w:firstLineChars="0"/>
        <w:textAlignment w:val="auto"/>
        <w:rPr>
          <w:rFonts w:ascii="Calibri" w:hAnsi="Calibri"/>
          <w:color w:val="auto"/>
          <w:sz w:val="20"/>
          <w:highlight w:val="none"/>
        </w:rPr>
      </w:pPr>
      <w:r>
        <w:rPr>
          <w:rFonts w:hint="eastAsia" w:ascii="仿宋" w:hAnsi="仿宋" w:eastAsia="仿宋"/>
          <w:color w:val="auto"/>
          <w:sz w:val="22"/>
          <w:szCs w:val="21"/>
          <w:highlight w:val="none"/>
          <w:u w:val="single"/>
        </w:rPr>
        <w:t>10天内</w:t>
      </w:r>
    </w:p>
    <w:p>
      <w:pPr>
        <w:adjustRightInd/>
        <w:spacing w:before="9"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24" w:name="_bookmark161"/>
      <w:bookmarkEnd w:id="824"/>
      <w:r>
        <w:rPr>
          <w:rFonts w:ascii="宋体" w:hAnsi="宋体" w:cs="宋体"/>
          <w:color w:val="auto"/>
          <w:szCs w:val="24"/>
          <w:highlight w:val="none"/>
        </w:rPr>
        <w:t>18.9</w:t>
      </w:r>
      <w:r>
        <w:rPr>
          <w:rFonts w:ascii="宋体" w:hAnsi="宋体" w:cs="宋体"/>
          <w:color w:val="auto"/>
          <w:szCs w:val="24"/>
          <w:highlight w:val="none"/>
        </w:rPr>
        <w:tab/>
      </w:r>
      <w:r>
        <w:rPr>
          <w:rFonts w:ascii="宋体" w:hAnsi="宋体" w:cs="宋体"/>
          <w:color w:val="auto"/>
          <w:szCs w:val="24"/>
          <w:highlight w:val="none"/>
        </w:rPr>
        <w:t>中间验收</w:t>
      </w:r>
    </w:p>
    <w:p>
      <w:pPr>
        <w:adjustRightInd/>
        <w:spacing w:before="5" w:line="240" w:lineRule="exact"/>
        <w:ind w:firstLine="0" w:firstLineChars="0"/>
        <w:textAlignment w:val="auto"/>
        <w:rPr>
          <w:rFonts w:ascii="Calibri" w:hAnsi="Calibri"/>
          <w:color w:val="auto"/>
          <w:szCs w:val="24"/>
          <w:highlight w:val="none"/>
        </w:rPr>
      </w:pPr>
    </w:p>
    <w:p>
      <w:pPr>
        <w:tabs>
          <w:tab w:val="left" w:pos="1420"/>
          <w:tab w:val="left" w:pos="8470"/>
        </w:tabs>
        <w:adjustRightInd/>
        <w:spacing w:line="240" w:lineRule="auto"/>
        <w:ind w:left="578" w:firstLine="0" w:firstLineChars="0"/>
        <w:textAlignment w:val="auto"/>
        <w:rPr>
          <w:rFonts w:ascii="宋体" w:hAnsi="宋体"/>
          <w:color w:val="auto"/>
          <w:sz w:val="21"/>
          <w:szCs w:val="21"/>
          <w:highlight w:val="none"/>
          <w:u w:val="single" w:color="000000"/>
        </w:rPr>
      </w:pPr>
      <w:r>
        <w:rPr>
          <w:rFonts w:ascii="宋体" w:hAnsi="宋体" w:cs="宋体"/>
          <w:color w:val="auto"/>
          <w:sz w:val="21"/>
          <w:szCs w:val="21"/>
          <w:highlight w:val="none"/>
        </w:rPr>
        <w:t>18.9.1</w:t>
      </w:r>
      <w:r>
        <w:rPr>
          <w:rFonts w:ascii="宋体" w:hAnsi="宋体" w:cs="宋体"/>
          <w:color w:val="auto"/>
          <w:sz w:val="21"/>
          <w:szCs w:val="21"/>
          <w:highlight w:val="none"/>
        </w:rPr>
        <w:tab/>
      </w:r>
      <w:r>
        <w:rPr>
          <w:rFonts w:ascii="宋体" w:hAnsi="宋体"/>
          <w:color w:val="auto"/>
          <w:spacing w:val="-3"/>
          <w:sz w:val="21"/>
          <w:szCs w:val="21"/>
          <w:highlight w:val="none"/>
        </w:rPr>
        <w:t>本</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需</w:t>
      </w:r>
      <w:r>
        <w:rPr>
          <w:rFonts w:ascii="宋体" w:hAnsi="宋体"/>
          <w:color w:val="auto"/>
          <w:spacing w:val="-3"/>
          <w:sz w:val="21"/>
          <w:szCs w:val="21"/>
          <w:highlight w:val="none"/>
        </w:rPr>
        <w:t>要</w:t>
      </w:r>
      <w:r>
        <w:rPr>
          <w:rFonts w:ascii="宋体" w:hAnsi="宋体"/>
          <w:color w:val="auto"/>
          <w:sz w:val="21"/>
          <w:szCs w:val="21"/>
          <w:highlight w:val="none"/>
        </w:rPr>
        <w:t>进</w:t>
      </w:r>
      <w:r>
        <w:rPr>
          <w:rFonts w:ascii="宋体" w:hAnsi="宋体"/>
          <w:color w:val="auto"/>
          <w:spacing w:val="-3"/>
          <w:sz w:val="21"/>
          <w:szCs w:val="21"/>
          <w:highlight w:val="none"/>
        </w:rPr>
        <w:t>行</w:t>
      </w:r>
      <w:r>
        <w:rPr>
          <w:rFonts w:ascii="宋体" w:hAnsi="宋体"/>
          <w:color w:val="auto"/>
          <w:sz w:val="21"/>
          <w:szCs w:val="21"/>
          <w:highlight w:val="none"/>
        </w:rPr>
        <w:t>中间</w:t>
      </w:r>
      <w:r>
        <w:rPr>
          <w:rFonts w:ascii="宋体" w:hAnsi="宋体"/>
          <w:color w:val="auto"/>
          <w:spacing w:val="-3"/>
          <w:sz w:val="21"/>
          <w:szCs w:val="21"/>
          <w:highlight w:val="none"/>
        </w:rPr>
        <w:t>验</w:t>
      </w:r>
      <w:r>
        <w:rPr>
          <w:rFonts w:ascii="宋体" w:hAnsi="宋体"/>
          <w:color w:val="auto"/>
          <w:sz w:val="21"/>
          <w:szCs w:val="21"/>
          <w:highlight w:val="none"/>
        </w:rPr>
        <w:t>收</w:t>
      </w:r>
      <w:r>
        <w:rPr>
          <w:rFonts w:ascii="宋体" w:hAnsi="宋体"/>
          <w:color w:val="auto"/>
          <w:spacing w:val="-3"/>
          <w:sz w:val="21"/>
          <w:szCs w:val="21"/>
          <w:highlight w:val="none"/>
        </w:rPr>
        <w:t>的</w:t>
      </w:r>
      <w:r>
        <w:rPr>
          <w:rFonts w:ascii="宋体" w:hAnsi="宋体"/>
          <w:color w:val="auto"/>
          <w:sz w:val="21"/>
          <w:szCs w:val="21"/>
          <w:highlight w:val="none"/>
        </w:rPr>
        <w:t>部</w:t>
      </w:r>
      <w:r>
        <w:rPr>
          <w:rFonts w:ascii="宋体" w:hAnsi="宋体"/>
          <w:color w:val="auto"/>
          <w:spacing w:val="-3"/>
          <w:sz w:val="21"/>
          <w:szCs w:val="21"/>
          <w:highlight w:val="none"/>
        </w:rPr>
        <w:t>位</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2" w:line="240" w:lineRule="exact"/>
        <w:ind w:firstLine="0" w:firstLineChars="0"/>
        <w:textAlignment w:val="auto"/>
        <w:rPr>
          <w:rFonts w:ascii="Calibri" w:hAnsi="Calibri"/>
          <w:color w:val="auto"/>
          <w:szCs w:val="24"/>
          <w:highlight w:val="none"/>
        </w:rPr>
      </w:pPr>
    </w:p>
    <w:p>
      <w:pPr>
        <w:tabs>
          <w:tab w:val="left" w:pos="1420"/>
          <w:tab w:val="left" w:pos="5304"/>
        </w:tabs>
        <w:adjustRightInd/>
        <w:spacing w:before="1"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18.9.2</w:t>
      </w:r>
      <w:r>
        <w:rPr>
          <w:rFonts w:ascii="宋体" w:hAnsi="宋体" w:cs="宋体"/>
          <w:color w:val="auto"/>
          <w:sz w:val="21"/>
          <w:szCs w:val="21"/>
          <w:highlight w:val="none"/>
        </w:rPr>
        <w:tab/>
      </w:r>
      <w:r>
        <w:rPr>
          <w:rFonts w:hint="eastAsia" w:ascii="宋体" w:hAnsi="宋体"/>
          <w:color w:val="auto"/>
          <w:sz w:val="21"/>
          <w:szCs w:val="21"/>
          <w:highlight w:val="none"/>
        </w:rPr>
        <w:t>验收不合格的，承包人在</w:t>
      </w:r>
      <w:r>
        <w:rPr>
          <w:rFonts w:hint="eastAsia" w:ascii="宋体" w:hAnsi="宋体"/>
          <w:color w:val="auto"/>
          <w:sz w:val="21"/>
          <w:szCs w:val="21"/>
          <w:highlight w:val="none"/>
          <w:u w:val="single"/>
        </w:rPr>
        <w:t>48小时内</w:t>
      </w:r>
      <w:r>
        <w:rPr>
          <w:rFonts w:hint="eastAsia" w:ascii="宋体" w:hAnsi="宋体"/>
          <w:color w:val="auto"/>
          <w:sz w:val="21"/>
          <w:szCs w:val="21"/>
          <w:highlight w:val="none"/>
        </w:rPr>
        <w:t>期限内进行修改后重新验收。</w:t>
      </w:r>
      <w:r>
        <w:rPr>
          <w:rFonts w:ascii="宋体" w:hAnsi="宋体"/>
          <w:color w:val="auto"/>
          <w:sz w:val="21"/>
          <w:szCs w:val="21"/>
          <w:highlight w:val="none"/>
        </w:rPr>
        <w:t>。</w:t>
      </w:r>
    </w:p>
    <w:p>
      <w:pPr>
        <w:adjustRightInd/>
        <w:spacing w:before="4" w:line="220" w:lineRule="exact"/>
        <w:ind w:firstLine="0" w:firstLineChars="0"/>
        <w:textAlignment w:val="auto"/>
        <w:rPr>
          <w:rFonts w:ascii="Calibri" w:hAnsi="Calibri"/>
          <w:color w:val="auto"/>
          <w:sz w:val="22"/>
          <w:szCs w:val="22"/>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25" w:name="_bookmark162"/>
      <w:bookmarkEnd w:id="825"/>
      <w:r>
        <w:rPr>
          <w:rFonts w:ascii="宋体" w:hAnsi="宋体" w:cs="宋体"/>
          <w:color w:val="auto"/>
          <w:sz w:val="28"/>
          <w:szCs w:val="28"/>
          <w:highlight w:val="none"/>
        </w:rPr>
        <w:t>1</w:t>
      </w:r>
      <w:r>
        <w:rPr>
          <w:rFonts w:ascii="宋体" w:hAnsi="宋体" w:cs="宋体"/>
          <w:color w:val="auto"/>
          <w:spacing w:val="-2"/>
          <w:sz w:val="28"/>
          <w:szCs w:val="28"/>
          <w:highlight w:val="none"/>
        </w:rPr>
        <w:t>9</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缺</w:t>
      </w:r>
      <w:r>
        <w:rPr>
          <w:rFonts w:ascii="宋体" w:hAnsi="宋体" w:cs="宋体"/>
          <w:color w:val="auto"/>
          <w:sz w:val="28"/>
          <w:szCs w:val="28"/>
          <w:highlight w:val="none"/>
        </w:rPr>
        <w:t>陷责</w:t>
      </w:r>
      <w:r>
        <w:rPr>
          <w:rFonts w:ascii="宋体" w:hAnsi="宋体" w:cs="宋体"/>
          <w:color w:val="auto"/>
          <w:spacing w:val="-3"/>
          <w:sz w:val="28"/>
          <w:szCs w:val="28"/>
          <w:highlight w:val="none"/>
        </w:rPr>
        <w:t>任</w:t>
      </w:r>
      <w:r>
        <w:rPr>
          <w:rFonts w:ascii="宋体" w:hAnsi="宋体" w:cs="宋体"/>
          <w:color w:val="auto"/>
          <w:sz w:val="28"/>
          <w:szCs w:val="28"/>
          <w:highlight w:val="none"/>
        </w:rPr>
        <w:t>与保</w:t>
      </w:r>
      <w:r>
        <w:rPr>
          <w:rFonts w:ascii="宋体" w:hAnsi="宋体" w:cs="宋体"/>
          <w:color w:val="auto"/>
          <w:spacing w:val="-3"/>
          <w:sz w:val="28"/>
          <w:szCs w:val="28"/>
          <w:highlight w:val="none"/>
        </w:rPr>
        <w:t>修</w:t>
      </w:r>
      <w:r>
        <w:rPr>
          <w:rFonts w:ascii="宋体" w:hAnsi="宋体" w:cs="宋体"/>
          <w:color w:val="auto"/>
          <w:sz w:val="28"/>
          <w:szCs w:val="28"/>
          <w:highlight w:val="none"/>
        </w:rPr>
        <w:t>责任</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26" w:name="_bookmark163"/>
      <w:bookmarkEnd w:id="826"/>
      <w:r>
        <w:rPr>
          <w:rFonts w:ascii="宋体" w:hAnsi="宋体" w:cs="宋体"/>
          <w:color w:val="auto"/>
          <w:szCs w:val="24"/>
          <w:highlight w:val="none"/>
        </w:rPr>
        <w:t>19.7</w:t>
      </w:r>
      <w:r>
        <w:rPr>
          <w:rFonts w:ascii="宋体" w:hAnsi="宋体" w:cs="宋体"/>
          <w:color w:val="auto"/>
          <w:szCs w:val="24"/>
          <w:highlight w:val="none"/>
        </w:rPr>
        <w:tab/>
      </w:r>
      <w:r>
        <w:rPr>
          <w:rFonts w:ascii="宋体" w:hAnsi="宋体" w:cs="宋体"/>
          <w:color w:val="auto"/>
          <w:szCs w:val="24"/>
          <w:highlight w:val="none"/>
        </w:rPr>
        <w:t>保修责任</w:t>
      </w:r>
    </w:p>
    <w:p>
      <w:pPr>
        <w:adjustRightInd/>
        <w:spacing w:before="5" w:line="240" w:lineRule="exact"/>
        <w:ind w:firstLine="0" w:firstLineChars="0"/>
        <w:textAlignment w:val="auto"/>
        <w:rPr>
          <w:rFonts w:ascii="Calibri" w:hAnsi="Calibri"/>
          <w:color w:val="auto"/>
          <w:szCs w:val="24"/>
          <w:highlight w:val="none"/>
        </w:rPr>
      </w:pPr>
    </w:p>
    <w:p>
      <w:pPr>
        <w:tabs>
          <w:tab w:val="left" w:pos="1420"/>
          <w:tab w:val="left" w:pos="8348"/>
          <w:tab w:val="left" w:pos="8470"/>
        </w:tabs>
        <w:adjustRightInd/>
        <w:spacing w:line="316" w:lineRule="auto"/>
        <w:ind w:left="578" w:right="155"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19.7.1</w:t>
      </w:r>
      <w:r>
        <w:rPr>
          <w:rFonts w:ascii="宋体" w:hAnsi="宋体" w:cs="宋体"/>
          <w:color w:val="auto"/>
          <w:sz w:val="21"/>
          <w:szCs w:val="21"/>
          <w:highlight w:val="none"/>
        </w:rPr>
        <w:tab/>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质</w:t>
      </w:r>
      <w:r>
        <w:rPr>
          <w:rFonts w:ascii="宋体" w:hAnsi="宋体"/>
          <w:color w:val="auto"/>
          <w:sz w:val="21"/>
          <w:szCs w:val="21"/>
          <w:highlight w:val="none"/>
        </w:rPr>
        <w:t>量</w:t>
      </w:r>
      <w:r>
        <w:rPr>
          <w:rFonts w:ascii="宋体" w:hAnsi="宋体"/>
          <w:color w:val="auto"/>
          <w:spacing w:val="-3"/>
          <w:sz w:val="21"/>
          <w:szCs w:val="21"/>
          <w:highlight w:val="none"/>
        </w:rPr>
        <w:t>保</w:t>
      </w:r>
      <w:r>
        <w:rPr>
          <w:rFonts w:ascii="宋体" w:hAnsi="宋体"/>
          <w:color w:val="auto"/>
          <w:sz w:val="21"/>
          <w:szCs w:val="21"/>
          <w:highlight w:val="none"/>
        </w:rPr>
        <w:t>修</w:t>
      </w:r>
      <w:r>
        <w:rPr>
          <w:rFonts w:ascii="宋体" w:hAnsi="宋体"/>
          <w:color w:val="auto"/>
          <w:spacing w:val="-3"/>
          <w:sz w:val="21"/>
          <w:szCs w:val="21"/>
          <w:highlight w:val="none"/>
        </w:rPr>
        <w:t>范</w:t>
      </w:r>
      <w:r>
        <w:rPr>
          <w:rFonts w:ascii="宋体" w:hAnsi="宋体"/>
          <w:color w:val="auto"/>
          <w:sz w:val="21"/>
          <w:szCs w:val="21"/>
          <w:highlight w:val="none"/>
        </w:rPr>
        <w:t>围：</w:t>
      </w:r>
      <w:r>
        <w:rPr>
          <w:rFonts w:hint="eastAsia" w:ascii="宋体" w:hAnsi="宋体"/>
          <w:color w:val="auto"/>
          <w:sz w:val="21"/>
          <w:szCs w:val="21"/>
          <w:highlight w:val="none"/>
          <w:u w:val="single"/>
        </w:rPr>
        <w:t xml:space="preserve">合同约定的全部施工内容  </w:t>
      </w:r>
      <w:r>
        <w:rPr>
          <w:rFonts w:ascii="宋体" w:hAnsi="宋体"/>
          <w:color w:val="auto"/>
          <w:sz w:val="21"/>
          <w:szCs w:val="21"/>
          <w:highlight w:val="none"/>
          <w:u w:val="single" w:color="000000"/>
        </w:rPr>
        <w:tab/>
      </w:r>
      <w:r>
        <w:rPr>
          <w:rFonts w:ascii="宋体" w:hAnsi="宋体"/>
          <w:color w:val="auto"/>
          <w:sz w:val="21"/>
          <w:szCs w:val="21"/>
          <w:highlight w:val="none"/>
          <w:u w:val="single" w:color="000000"/>
        </w:rPr>
        <w:tab/>
      </w:r>
    </w:p>
    <w:p>
      <w:pPr>
        <w:tabs>
          <w:tab w:val="left" w:pos="1420"/>
          <w:tab w:val="left" w:pos="8348"/>
          <w:tab w:val="left" w:pos="8470"/>
        </w:tabs>
        <w:adjustRightInd/>
        <w:spacing w:line="316" w:lineRule="auto"/>
        <w:ind w:left="578" w:right="155" w:firstLine="0" w:firstLineChars="0"/>
        <w:textAlignment w:val="auto"/>
        <w:rPr>
          <w:rFonts w:ascii="宋体" w:hAnsi="宋体"/>
          <w:color w:val="auto"/>
          <w:sz w:val="21"/>
          <w:szCs w:val="21"/>
          <w:highlight w:val="none"/>
        </w:rPr>
      </w:pPr>
      <w:r>
        <w:rPr>
          <w:rFonts w:ascii="宋体" w:hAnsi="宋体"/>
          <w:color w:val="auto"/>
          <w:sz w:val="21"/>
          <w:szCs w:val="21"/>
          <w:highlight w:val="none"/>
        </w:rPr>
        <w:t>工程</w:t>
      </w:r>
      <w:r>
        <w:rPr>
          <w:rFonts w:ascii="宋体" w:hAnsi="宋体"/>
          <w:color w:val="auto"/>
          <w:spacing w:val="-3"/>
          <w:sz w:val="21"/>
          <w:szCs w:val="21"/>
          <w:highlight w:val="none"/>
        </w:rPr>
        <w:t>质</w:t>
      </w:r>
      <w:r>
        <w:rPr>
          <w:rFonts w:ascii="宋体" w:hAnsi="宋体"/>
          <w:color w:val="auto"/>
          <w:sz w:val="21"/>
          <w:szCs w:val="21"/>
          <w:highlight w:val="none"/>
        </w:rPr>
        <w:t>量</w:t>
      </w:r>
      <w:r>
        <w:rPr>
          <w:rFonts w:ascii="宋体" w:hAnsi="宋体"/>
          <w:color w:val="auto"/>
          <w:spacing w:val="-3"/>
          <w:sz w:val="21"/>
          <w:szCs w:val="21"/>
          <w:highlight w:val="none"/>
        </w:rPr>
        <w:t>保</w:t>
      </w:r>
      <w:r>
        <w:rPr>
          <w:rFonts w:ascii="宋体" w:hAnsi="宋体"/>
          <w:color w:val="auto"/>
          <w:sz w:val="21"/>
          <w:szCs w:val="21"/>
          <w:highlight w:val="none"/>
        </w:rPr>
        <w:t>修</w:t>
      </w:r>
      <w:r>
        <w:rPr>
          <w:rFonts w:ascii="宋体" w:hAnsi="宋体"/>
          <w:color w:val="auto"/>
          <w:spacing w:val="-3"/>
          <w:sz w:val="21"/>
          <w:szCs w:val="21"/>
          <w:highlight w:val="none"/>
        </w:rPr>
        <w:t>期</w:t>
      </w:r>
      <w:r>
        <w:rPr>
          <w:rFonts w:ascii="宋体" w:hAnsi="宋体"/>
          <w:color w:val="auto"/>
          <w:sz w:val="21"/>
          <w:szCs w:val="21"/>
          <w:highlight w:val="none"/>
        </w:rPr>
        <w:t>限</w:t>
      </w:r>
      <w:r>
        <w:rPr>
          <w:rFonts w:ascii="宋体" w:hAnsi="宋体"/>
          <w:color w:val="auto"/>
          <w:spacing w:val="-3"/>
          <w:sz w:val="21"/>
          <w:szCs w:val="21"/>
          <w:highlight w:val="none"/>
        </w:rPr>
        <w:t>：</w:t>
      </w:r>
      <w:r>
        <w:rPr>
          <w:rFonts w:hint="eastAsia" w:ascii="宋体" w:hAnsi="宋体"/>
          <w:color w:val="auto"/>
          <w:sz w:val="21"/>
          <w:szCs w:val="21"/>
          <w:highlight w:val="none"/>
          <w:u w:val="single"/>
        </w:rPr>
        <w:t>按《建设工程质量管理条例》相关规定执行</w:t>
      </w:r>
      <w:r>
        <w:rPr>
          <w:rFonts w:ascii="宋体" w:hAnsi="宋体"/>
          <w:color w:val="auto"/>
          <w:sz w:val="21"/>
          <w:szCs w:val="21"/>
          <w:highlight w:val="none"/>
          <w:u w:val="single" w:color="000000"/>
        </w:rPr>
        <w:tab/>
      </w:r>
    </w:p>
    <w:p>
      <w:pPr>
        <w:tabs>
          <w:tab w:val="left" w:pos="1420"/>
          <w:tab w:val="left" w:pos="8348"/>
          <w:tab w:val="left" w:pos="8470"/>
        </w:tabs>
        <w:adjustRightInd/>
        <w:spacing w:line="316" w:lineRule="auto"/>
        <w:ind w:left="578" w:right="155" w:firstLine="0" w:firstLineChars="0"/>
        <w:textAlignment w:val="auto"/>
        <w:rPr>
          <w:rFonts w:ascii="宋体" w:hAnsi="宋体"/>
          <w:color w:val="auto"/>
          <w:sz w:val="21"/>
          <w:szCs w:val="21"/>
          <w:highlight w:val="none"/>
        </w:rPr>
      </w:pPr>
      <w:r>
        <w:rPr>
          <w:rFonts w:ascii="宋体" w:hAnsi="宋体"/>
          <w:color w:val="auto"/>
          <w:sz w:val="21"/>
          <w:szCs w:val="21"/>
          <w:highlight w:val="none"/>
        </w:rPr>
        <w:t>工程</w:t>
      </w:r>
      <w:r>
        <w:rPr>
          <w:rFonts w:ascii="宋体" w:hAnsi="宋体"/>
          <w:color w:val="auto"/>
          <w:spacing w:val="-3"/>
          <w:sz w:val="21"/>
          <w:szCs w:val="21"/>
          <w:highlight w:val="none"/>
        </w:rPr>
        <w:t>质</w:t>
      </w:r>
      <w:r>
        <w:rPr>
          <w:rFonts w:ascii="宋体" w:hAnsi="宋体"/>
          <w:color w:val="auto"/>
          <w:sz w:val="21"/>
          <w:szCs w:val="21"/>
          <w:highlight w:val="none"/>
        </w:rPr>
        <w:t>量</w:t>
      </w:r>
      <w:r>
        <w:rPr>
          <w:rFonts w:ascii="宋体" w:hAnsi="宋体"/>
          <w:color w:val="auto"/>
          <w:spacing w:val="-3"/>
          <w:sz w:val="21"/>
          <w:szCs w:val="21"/>
          <w:highlight w:val="none"/>
        </w:rPr>
        <w:t>保</w:t>
      </w:r>
      <w:r>
        <w:rPr>
          <w:rFonts w:ascii="宋体" w:hAnsi="宋体"/>
          <w:color w:val="auto"/>
          <w:sz w:val="21"/>
          <w:szCs w:val="21"/>
          <w:highlight w:val="none"/>
        </w:rPr>
        <w:t>修</w:t>
      </w:r>
      <w:r>
        <w:rPr>
          <w:rFonts w:ascii="宋体" w:hAnsi="宋体"/>
          <w:color w:val="auto"/>
          <w:spacing w:val="-3"/>
          <w:sz w:val="21"/>
          <w:szCs w:val="21"/>
          <w:highlight w:val="none"/>
        </w:rPr>
        <w:t>责</w:t>
      </w:r>
      <w:r>
        <w:rPr>
          <w:rFonts w:ascii="宋体" w:hAnsi="宋体"/>
          <w:color w:val="auto"/>
          <w:sz w:val="21"/>
          <w:szCs w:val="21"/>
          <w:highlight w:val="none"/>
        </w:rPr>
        <w:t>任</w:t>
      </w:r>
      <w:r>
        <w:rPr>
          <w:rFonts w:ascii="宋体" w:hAnsi="宋体"/>
          <w:color w:val="auto"/>
          <w:spacing w:val="-3"/>
          <w:sz w:val="21"/>
          <w:szCs w:val="21"/>
          <w:highlight w:val="none"/>
        </w:rPr>
        <w:t>：</w:t>
      </w:r>
      <w:r>
        <w:rPr>
          <w:rFonts w:hint="eastAsia" w:ascii="宋体" w:hAnsi="宋体"/>
          <w:color w:val="auto"/>
          <w:sz w:val="21"/>
          <w:szCs w:val="21"/>
          <w:highlight w:val="none"/>
          <w:u w:val="single"/>
        </w:rPr>
        <w:t>按《建设工程质量管理条例》相关规定执行</w:t>
      </w:r>
      <w:r>
        <w:rPr>
          <w:rFonts w:ascii="宋体" w:hAnsi="宋体"/>
          <w:color w:val="auto"/>
          <w:sz w:val="21"/>
          <w:szCs w:val="21"/>
          <w:highlight w:val="none"/>
          <w:u w:val="single" w:color="000000"/>
        </w:rPr>
        <w:tab/>
      </w:r>
    </w:p>
    <w:p>
      <w:pPr>
        <w:adjustRightInd/>
        <w:spacing w:line="160" w:lineRule="exact"/>
        <w:ind w:firstLine="0" w:firstLineChars="0"/>
        <w:textAlignment w:val="auto"/>
        <w:rPr>
          <w:rFonts w:ascii="Calibri" w:hAnsi="Calibri"/>
          <w:color w:val="auto"/>
          <w:sz w:val="16"/>
          <w:szCs w:val="16"/>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27" w:name="_bookmark164"/>
      <w:bookmarkEnd w:id="827"/>
      <w:r>
        <w:rPr>
          <w:rFonts w:ascii="宋体" w:hAnsi="宋体" w:cs="宋体"/>
          <w:color w:val="auto"/>
          <w:sz w:val="28"/>
          <w:szCs w:val="28"/>
          <w:highlight w:val="none"/>
        </w:rPr>
        <w:t>2</w:t>
      </w:r>
      <w:r>
        <w:rPr>
          <w:rFonts w:ascii="宋体" w:hAnsi="宋体" w:cs="宋体"/>
          <w:color w:val="auto"/>
          <w:spacing w:val="-2"/>
          <w:sz w:val="28"/>
          <w:szCs w:val="28"/>
          <w:highlight w:val="none"/>
        </w:rPr>
        <w:t>0</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保险</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28" w:name="_bookmark165"/>
      <w:bookmarkEnd w:id="828"/>
      <w:r>
        <w:rPr>
          <w:rFonts w:ascii="宋体" w:hAnsi="宋体" w:cs="宋体"/>
          <w:color w:val="auto"/>
          <w:szCs w:val="24"/>
          <w:highlight w:val="none"/>
        </w:rPr>
        <w:t>20.1</w:t>
      </w:r>
      <w:r>
        <w:rPr>
          <w:rFonts w:ascii="宋体" w:hAnsi="宋体" w:cs="宋体"/>
          <w:color w:val="auto"/>
          <w:szCs w:val="24"/>
          <w:highlight w:val="none"/>
        </w:rPr>
        <w:tab/>
      </w:r>
      <w:r>
        <w:rPr>
          <w:rFonts w:ascii="宋体" w:hAnsi="宋体" w:cs="宋体"/>
          <w:color w:val="auto"/>
          <w:szCs w:val="24"/>
          <w:highlight w:val="none"/>
        </w:rPr>
        <w:t>工程保险</w:t>
      </w:r>
    </w:p>
    <w:p>
      <w:pPr>
        <w:adjustRightInd/>
        <w:spacing w:before="3" w:line="240" w:lineRule="exact"/>
        <w:ind w:firstLine="0" w:firstLineChars="0"/>
        <w:textAlignment w:val="auto"/>
        <w:rPr>
          <w:rFonts w:ascii="Calibri" w:hAnsi="Calibri"/>
          <w:color w:val="auto"/>
          <w:szCs w:val="24"/>
          <w:highlight w:val="none"/>
        </w:rPr>
      </w:pPr>
    </w:p>
    <w:p>
      <w:pPr>
        <w:tabs>
          <w:tab w:val="left" w:pos="1948"/>
          <w:tab w:val="left" w:pos="8053"/>
        </w:tabs>
        <w:adjustRightInd/>
        <w:spacing w:line="316" w:lineRule="auto"/>
        <w:ind w:left="158" w:right="150" w:firstLine="419" w:firstLineChars="0"/>
        <w:textAlignment w:val="auto"/>
        <w:rPr>
          <w:rFonts w:ascii="宋体" w:hAnsi="宋体"/>
          <w:color w:val="auto"/>
          <w:sz w:val="21"/>
          <w:szCs w:val="21"/>
          <w:highlight w:val="none"/>
        </w:rPr>
      </w:pPr>
      <w:r>
        <w:rPr>
          <w:rFonts w:ascii="宋体" w:hAnsi="宋体"/>
          <w:color w:val="auto"/>
          <w:sz w:val="21"/>
          <w:szCs w:val="21"/>
          <w:highlight w:val="none"/>
        </w:rPr>
        <w:t>本工程</w:t>
      </w:r>
      <w:r>
        <w:rPr>
          <w:rFonts w:hint="eastAsia" w:ascii="宋体" w:hAnsi="宋体"/>
          <w:color w:val="auto"/>
          <w:sz w:val="21"/>
          <w:szCs w:val="21"/>
          <w:highlight w:val="none"/>
          <w:u w:val="single"/>
        </w:rPr>
        <w:t>不投保</w:t>
      </w:r>
      <w:r>
        <w:rPr>
          <w:rFonts w:ascii="宋体" w:hAnsi="宋体" w:cs="宋体"/>
          <w:color w:val="auto"/>
          <w:sz w:val="21"/>
          <w:szCs w:val="21"/>
          <w:highlight w:val="none"/>
          <w:u w:val="single" w:color="000000"/>
        </w:rPr>
        <w:tab/>
      </w:r>
      <w:r>
        <w:rPr>
          <w:rFonts w:ascii="宋体" w:hAnsi="宋体" w:cs="宋体"/>
          <w:color w:val="auto"/>
          <w:sz w:val="21"/>
          <w:szCs w:val="21"/>
          <w:highlight w:val="none"/>
        </w:rPr>
        <w:t>(</w:t>
      </w:r>
      <w:r>
        <w:rPr>
          <w:rFonts w:ascii="宋体" w:hAnsi="宋体"/>
          <w:color w:val="auto"/>
          <w:sz w:val="21"/>
          <w:szCs w:val="21"/>
          <w:highlight w:val="none"/>
        </w:rPr>
        <w:t>投</w:t>
      </w:r>
      <w:r>
        <w:rPr>
          <w:rFonts w:ascii="宋体" w:hAnsi="宋体"/>
          <w:color w:val="auto"/>
          <w:spacing w:val="-2"/>
          <w:sz w:val="21"/>
          <w:szCs w:val="21"/>
          <w:highlight w:val="none"/>
        </w:rPr>
        <w:t>保</w:t>
      </w:r>
      <w:r>
        <w:rPr>
          <w:rFonts w:ascii="宋体" w:hAnsi="宋体" w:cs="宋体"/>
          <w:color w:val="auto"/>
          <w:sz w:val="21"/>
          <w:szCs w:val="21"/>
          <w:highlight w:val="none"/>
        </w:rPr>
        <w:t>/</w:t>
      </w:r>
      <w:r>
        <w:rPr>
          <w:rFonts w:ascii="宋体" w:hAnsi="宋体"/>
          <w:color w:val="auto"/>
          <w:sz w:val="21"/>
          <w:szCs w:val="21"/>
          <w:highlight w:val="none"/>
        </w:rPr>
        <w:t>不</w:t>
      </w:r>
      <w:r>
        <w:rPr>
          <w:rFonts w:ascii="宋体" w:hAnsi="宋体"/>
          <w:color w:val="auto"/>
          <w:spacing w:val="-3"/>
          <w:sz w:val="21"/>
          <w:szCs w:val="21"/>
          <w:highlight w:val="none"/>
        </w:rPr>
        <w:t>投</w:t>
      </w:r>
      <w:r>
        <w:rPr>
          <w:rFonts w:ascii="宋体" w:hAnsi="宋体"/>
          <w:color w:val="auto"/>
          <w:spacing w:val="-1"/>
          <w:sz w:val="21"/>
          <w:szCs w:val="21"/>
          <w:highlight w:val="none"/>
        </w:rPr>
        <w:t>保</w:t>
      </w:r>
      <w:r>
        <w:rPr>
          <w:rFonts w:ascii="宋体" w:hAnsi="宋体" w:cs="宋体"/>
          <w:color w:val="auto"/>
          <w:sz w:val="21"/>
          <w:szCs w:val="21"/>
          <w:highlight w:val="none"/>
        </w:rPr>
        <w:t>)</w:t>
      </w:r>
      <w:r>
        <w:rPr>
          <w:rFonts w:ascii="宋体" w:hAnsi="宋体"/>
          <w:color w:val="auto"/>
          <w:sz w:val="21"/>
          <w:szCs w:val="21"/>
          <w:highlight w:val="none"/>
        </w:rPr>
        <w:t>工程</w:t>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投</w:t>
      </w:r>
      <w:r>
        <w:rPr>
          <w:rFonts w:ascii="宋体" w:hAnsi="宋体"/>
          <w:color w:val="auto"/>
          <w:sz w:val="21"/>
          <w:szCs w:val="21"/>
          <w:highlight w:val="none"/>
        </w:rPr>
        <w:t>保</w:t>
      </w:r>
      <w:r>
        <w:rPr>
          <w:rFonts w:ascii="宋体" w:hAnsi="宋体"/>
          <w:color w:val="auto"/>
          <w:spacing w:val="-3"/>
          <w:sz w:val="21"/>
          <w:szCs w:val="21"/>
          <w:highlight w:val="none"/>
        </w:rPr>
        <w:t>工</w:t>
      </w:r>
      <w:r>
        <w:rPr>
          <w:rFonts w:ascii="宋体" w:hAnsi="宋体"/>
          <w:color w:val="auto"/>
          <w:sz w:val="21"/>
          <w:szCs w:val="21"/>
          <w:highlight w:val="none"/>
        </w:rPr>
        <w:t>程</w:t>
      </w:r>
      <w:r>
        <w:rPr>
          <w:rFonts w:ascii="宋体" w:hAnsi="宋体"/>
          <w:color w:val="auto"/>
          <w:spacing w:val="-3"/>
          <w:sz w:val="21"/>
          <w:szCs w:val="21"/>
          <w:highlight w:val="none"/>
        </w:rPr>
        <w:t>保</w:t>
      </w:r>
      <w:r>
        <w:rPr>
          <w:rFonts w:ascii="宋体" w:hAnsi="宋体"/>
          <w:color w:val="auto"/>
          <w:sz w:val="21"/>
          <w:szCs w:val="21"/>
          <w:highlight w:val="none"/>
        </w:rPr>
        <w:t>险时，</w:t>
      </w:r>
      <w:r>
        <w:rPr>
          <w:rFonts w:ascii="宋体" w:hAnsi="宋体"/>
          <w:color w:val="auto"/>
          <w:spacing w:val="-3"/>
          <w:sz w:val="21"/>
          <w:szCs w:val="21"/>
          <w:highlight w:val="none"/>
        </w:rPr>
        <w:t>险</w:t>
      </w:r>
      <w:r>
        <w:rPr>
          <w:rFonts w:ascii="宋体" w:hAnsi="宋体"/>
          <w:color w:val="auto"/>
          <w:sz w:val="21"/>
          <w:szCs w:val="21"/>
          <w:highlight w:val="none"/>
        </w:rPr>
        <w:t>种为：</w:t>
      </w:r>
      <w:r>
        <w:rPr>
          <w:rFonts w:hint="eastAsia" w:ascii="宋体" w:hAnsi="宋体"/>
          <w:color w:val="auto"/>
          <w:sz w:val="21"/>
          <w:szCs w:val="21"/>
          <w:highlight w:val="none"/>
        </w:rPr>
        <w:t>/</w:t>
      </w:r>
      <w:r>
        <w:rPr>
          <w:rFonts w:ascii="宋体" w:hAnsi="宋体"/>
          <w:color w:val="auto"/>
          <w:sz w:val="21"/>
          <w:szCs w:val="21"/>
          <w:highlight w:val="none"/>
          <w:u w:val="single" w:color="000000"/>
        </w:rPr>
        <w:tab/>
      </w:r>
      <w:r>
        <w:rPr>
          <w:rFonts w:ascii="宋体" w:hAnsi="宋体"/>
          <w:color w:val="auto"/>
          <w:sz w:val="21"/>
          <w:szCs w:val="21"/>
          <w:highlight w:val="none"/>
        </w:rPr>
        <w:t>，并 符合</w:t>
      </w:r>
      <w:r>
        <w:rPr>
          <w:rFonts w:ascii="宋体" w:hAnsi="宋体"/>
          <w:color w:val="auto"/>
          <w:spacing w:val="-3"/>
          <w:sz w:val="21"/>
          <w:szCs w:val="21"/>
          <w:highlight w:val="none"/>
        </w:rPr>
        <w:t>以</w:t>
      </w:r>
      <w:r>
        <w:rPr>
          <w:rFonts w:ascii="宋体" w:hAnsi="宋体"/>
          <w:color w:val="auto"/>
          <w:sz w:val="21"/>
          <w:szCs w:val="21"/>
          <w:highlight w:val="none"/>
        </w:rPr>
        <w:t>下</w:t>
      </w:r>
      <w:r>
        <w:rPr>
          <w:rFonts w:ascii="宋体" w:hAnsi="宋体"/>
          <w:color w:val="auto"/>
          <w:spacing w:val="-3"/>
          <w:sz w:val="21"/>
          <w:szCs w:val="21"/>
          <w:highlight w:val="none"/>
        </w:rPr>
        <w:t>约</w:t>
      </w:r>
      <w:r>
        <w:rPr>
          <w:rFonts w:ascii="宋体" w:hAnsi="宋体"/>
          <w:color w:val="auto"/>
          <w:sz w:val="21"/>
          <w:szCs w:val="21"/>
          <w:highlight w:val="none"/>
        </w:rPr>
        <w:t>定：</w:t>
      </w:r>
    </w:p>
    <w:p>
      <w:pPr>
        <w:tabs>
          <w:tab w:val="left" w:pos="8453"/>
        </w:tabs>
        <w:adjustRightInd/>
        <w:spacing w:before="31"/>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w:t>
      </w:r>
      <w:r>
        <w:rPr>
          <w:rFonts w:ascii="宋体" w:hAnsi="宋体"/>
          <w:color w:val="auto"/>
          <w:sz w:val="21"/>
          <w:szCs w:val="21"/>
          <w:highlight w:val="none"/>
        </w:rPr>
        <w:t>投</w:t>
      </w:r>
      <w:r>
        <w:rPr>
          <w:rFonts w:ascii="宋体" w:hAnsi="宋体"/>
          <w:color w:val="auto"/>
          <w:spacing w:val="-3"/>
          <w:sz w:val="21"/>
          <w:szCs w:val="21"/>
          <w:highlight w:val="none"/>
        </w:rPr>
        <w:t>保</w:t>
      </w:r>
      <w:r>
        <w:rPr>
          <w:rFonts w:ascii="宋体" w:hAnsi="宋体"/>
          <w:color w:val="auto"/>
          <w:sz w:val="21"/>
          <w:szCs w:val="21"/>
          <w:highlight w:val="none"/>
        </w:rPr>
        <w:t>人</w:t>
      </w:r>
      <w:r>
        <w:rPr>
          <w:rFonts w:ascii="宋体" w:hAnsi="宋体"/>
          <w:color w:val="auto"/>
          <w:spacing w:val="-1"/>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1"/>
        <w:ind w:firstLine="0" w:firstLineChars="0"/>
        <w:textAlignment w:val="auto"/>
        <w:rPr>
          <w:rFonts w:ascii="Calibri" w:hAnsi="Calibri"/>
          <w:color w:val="auto"/>
          <w:sz w:val="10"/>
          <w:szCs w:val="10"/>
          <w:highlight w:val="none"/>
        </w:rPr>
      </w:pPr>
    </w:p>
    <w:p>
      <w:pPr>
        <w:tabs>
          <w:tab w:val="left" w:pos="8453"/>
        </w:tabs>
        <w:adjustRightInd/>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2</w:t>
      </w:r>
      <w:r>
        <w:rPr>
          <w:rFonts w:ascii="宋体" w:hAnsi="宋体"/>
          <w:color w:val="auto"/>
          <w:spacing w:val="-3"/>
          <w:sz w:val="21"/>
          <w:szCs w:val="21"/>
          <w:highlight w:val="none"/>
        </w:rPr>
        <w:t>）</w:t>
      </w:r>
      <w:r>
        <w:rPr>
          <w:rFonts w:ascii="宋体" w:hAnsi="宋体"/>
          <w:color w:val="auto"/>
          <w:sz w:val="21"/>
          <w:szCs w:val="21"/>
          <w:highlight w:val="none"/>
        </w:rPr>
        <w:t>投</w:t>
      </w:r>
      <w:r>
        <w:rPr>
          <w:rFonts w:ascii="宋体" w:hAnsi="宋体"/>
          <w:color w:val="auto"/>
          <w:spacing w:val="-3"/>
          <w:sz w:val="21"/>
          <w:szCs w:val="21"/>
          <w:highlight w:val="none"/>
        </w:rPr>
        <w:t>保</w:t>
      </w:r>
      <w:r>
        <w:rPr>
          <w:rFonts w:ascii="宋体" w:hAnsi="宋体"/>
          <w:color w:val="auto"/>
          <w:sz w:val="21"/>
          <w:szCs w:val="21"/>
          <w:highlight w:val="none"/>
        </w:rPr>
        <w:t>内</w:t>
      </w:r>
      <w:r>
        <w:rPr>
          <w:rFonts w:ascii="宋体" w:hAnsi="宋体"/>
          <w:color w:val="auto"/>
          <w:spacing w:val="-3"/>
          <w:sz w:val="21"/>
          <w:szCs w:val="21"/>
          <w:highlight w:val="none"/>
        </w:rPr>
        <w:t>容</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98"/>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3</w:t>
      </w:r>
      <w:r>
        <w:rPr>
          <w:rFonts w:ascii="宋体" w:hAnsi="宋体"/>
          <w:color w:val="auto"/>
          <w:spacing w:val="-3"/>
          <w:sz w:val="21"/>
          <w:szCs w:val="21"/>
          <w:highlight w:val="none"/>
        </w:rPr>
        <w:t>）</w:t>
      </w:r>
      <w:r>
        <w:rPr>
          <w:rFonts w:ascii="宋体" w:hAnsi="宋体"/>
          <w:color w:val="auto"/>
          <w:sz w:val="21"/>
          <w:szCs w:val="21"/>
          <w:highlight w:val="none"/>
        </w:rPr>
        <w:t>保</w:t>
      </w:r>
      <w:r>
        <w:rPr>
          <w:rFonts w:ascii="宋体" w:hAnsi="宋体"/>
          <w:color w:val="auto"/>
          <w:spacing w:val="-3"/>
          <w:sz w:val="21"/>
          <w:szCs w:val="21"/>
          <w:highlight w:val="none"/>
        </w:rPr>
        <w:t>险</w:t>
      </w:r>
      <w:r>
        <w:rPr>
          <w:rFonts w:ascii="宋体" w:hAnsi="宋体"/>
          <w:color w:val="auto"/>
          <w:sz w:val="21"/>
          <w:szCs w:val="21"/>
          <w:highlight w:val="none"/>
        </w:rPr>
        <w:t>费</w:t>
      </w:r>
      <w:r>
        <w:rPr>
          <w:rFonts w:ascii="宋体" w:hAnsi="宋体"/>
          <w:color w:val="auto"/>
          <w:spacing w:val="-3"/>
          <w:sz w:val="21"/>
          <w:szCs w:val="21"/>
          <w:highlight w:val="none"/>
        </w:rPr>
        <w:t>率</w:t>
      </w:r>
      <w:r>
        <w:rPr>
          <w:rFonts w:ascii="宋体" w:hAnsi="宋体"/>
          <w:color w:val="auto"/>
          <w:sz w:val="21"/>
          <w:szCs w:val="21"/>
          <w:highlight w:val="none"/>
        </w:rPr>
        <w:t>：</w:t>
      </w:r>
      <w:r>
        <w:rPr>
          <w:rFonts w:ascii="宋体" w:hAnsi="宋体"/>
          <w:color w:val="auto"/>
          <w:spacing w:val="-3"/>
          <w:sz w:val="21"/>
          <w:szCs w:val="21"/>
          <w:highlight w:val="none"/>
        </w:rPr>
        <w:t>由</w:t>
      </w:r>
      <w:r>
        <w:rPr>
          <w:rFonts w:ascii="宋体" w:hAnsi="宋体"/>
          <w:color w:val="auto"/>
          <w:sz w:val="21"/>
          <w:szCs w:val="21"/>
          <w:highlight w:val="none"/>
        </w:rPr>
        <w:t>投</w:t>
      </w:r>
      <w:r>
        <w:rPr>
          <w:rFonts w:ascii="宋体" w:hAnsi="宋体"/>
          <w:color w:val="auto"/>
          <w:spacing w:val="-3"/>
          <w:sz w:val="21"/>
          <w:szCs w:val="21"/>
          <w:highlight w:val="none"/>
        </w:rPr>
        <w:t>保人</w:t>
      </w:r>
      <w:r>
        <w:rPr>
          <w:rFonts w:ascii="宋体" w:hAnsi="宋体"/>
          <w:color w:val="auto"/>
          <w:sz w:val="21"/>
          <w:szCs w:val="21"/>
          <w:highlight w:val="none"/>
        </w:rPr>
        <w:t>与合</w:t>
      </w:r>
      <w:r>
        <w:rPr>
          <w:rFonts w:ascii="宋体" w:hAnsi="宋体"/>
          <w:color w:val="auto"/>
          <w:spacing w:val="-3"/>
          <w:sz w:val="21"/>
          <w:szCs w:val="21"/>
          <w:highlight w:val="none"/>
        </w:rPr>
        <w:t>同</w:t>
      </w:r>
      <w:r>
        <w:rPr>
          <w:rFonts w:ascii="宋体" w:hAnsi="宋体"/>
          <w:color w:val="auto"/>
          <w:sz w:val="21"/>
          <w:szCs w:val="21"/>
          <w:highlight w:val="none"/>
        </w:rPr>
        <w:t>双</w:t>
      </w:r>
      <w:r>
        <w:rPr>
          <w:rFonts w:ascii="宋体" w:hAnsi="宋体"/>
          <w:color w:val="auto"/>
          <w:spacing w:val="-3"/>
          <w:sz w:val="21"/>
          <w:szCs w:val="21"/>
          <w:highlight w:val="none"/>
        </w:rPr>
        <w:t>方</w:t>
      </w:r>
      <w:r>
        <w:rPr>
          <w:rFonts w:ascii="宋体" w:hAnsi="宋体"/>
          <w:color w:val="auto"/>
          <w:sz w:val="21"/>
          <w:szCs w:val="21"/>
          <w:highlight w:val="none"/>
        </w:rPr>
        <w:t>同</w:t>
      </w:r>
      <w:r>
        <w:rPr>
          <w:rFonts w:ascii="宋体" w:hAnsi="宋体"/>
          <w:color w:val="auto"/>
          <w:spacing w:val="-3"/>
          <w:sz w:val="21"/>
          <w:szCs w:val="21"/>
          <w:highlight w:val="none"/>
        </w:rPr>
        <w:t>意</w:t>
      </w:r>
      <w:r>
        <w:rPr>
          <w:rFonts w:ascii="宋体" w:hAnsi="宋体"/>
          <w:color w:val="auto"/>
          <w:sz w:val="21"/>
          <w:szCs w:val="21"/>
          <w:highlight w:val="none"/>
        </w:rPr>
        <w:t>的</w:t>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人</w:t>
      </w:r>
      <w:r>
        <w:rPr>
          <w:rFonts w:ascii="宋体" w:hAnsi="宋体"/>
          <w:color w:val="auto"/>
          <w:sz w:val="21"/>
          <w:szCs w:val="21"/>
          <w:highlight w:val="none"/>
        </w:rPr>
        <w:t>商定。</w:t>
      </w:r>
    </w:p>
    <w:p>
      <w:pPr>
        <w:tabs>
          <w:tab w:val="left" w:pos="8453"/>
        </w:tabs>
        <w:adjustRightInd/>
        <w:spacing w:before="98"/>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4</w:t>
      </w:r>
      <w:r>
        <w:rPr>
          <w:rFonts w:ascii="宋体" w:hAnsi="宋体"/>
          <w:color w:val="auto"/>
          <w:spacing w:val="-3"/>
          <w:sz w:val="21"/>
          <w:szCs w:val="21"/>
          <w:highlight w:val="none"/>
        </w:rPr>
        <w:t>）</w:t>
      </w:r>
      <w:r>
        <w:rPr>
          <w:rFonts w:ascii="宋体" w:hAnsi="宋体"/>
          <w:color w:val="auto"/>
          <w:sz w:val="21"/>
          <w:szCs w:val="21"/>
          <w:highlight w:val="none"/>
        </w:rPr>
        <w:t>保</w:t>
      </w:r>
      <w:r>
        <w:rPr>
          <w:rFonts w:ascii="宋体" w:hAnsi="宋体"/>
          <w:color w:val="auto"/>
          <w:spacing w:val="-3"/>
          <w:sz w:val="21"/>
          <w:szCs w:val="21"/>
          <w:highlight w:val="none"/>
        </w:rPr>
        <w:t>险</w:t>
      </w:r>
      <w:r>
        <w:rPr>
          <w:rFonts w:ascii="宋体" w:hAnsi="宋体"/>
          <w:color w:val="auto"/>
          <w:sz w:val="21"/>
          <w:szCs w:val="21"/>
          <w:highlight w:val="none"/>
        </w:rPr>
        <w:t>金</w:t>
      </w:r>
      <w:r>
        <w:rPr>
          <w:rFonts w:ascii="宋体" w:hAnsi="宋体"/>
          <w:color w:val="auto"/>
          <w:spacing w:val="-3"/>
          <w:sz w:val="21"/>
          <w:szCs w:val="21"/>
          <w:highlight w:val="none"/>
        </w:rPr>
        <w:t>额</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tabs>
          <w:tab w:val="left" w:pos="8453"/>
        </w:tabs>
        <w:adjustRightInd/>
        <w:spacing w:before="98"/>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w:t>
      </w:r>
      <w:r>
        <w:rPr>
          <w:rFonts w:ascii="宋体" w:hAnsi="宋体" w:cs="宋体"/>
          <w:color w:val="auto"/>
          <w:sz w:val="21"/>
          <w:szCs w:val="21"/>
          <w:highlight w:val="none"/>
        </w:rPr>
        <w:t>5</w:t>
      </w:r>
      <w:r>
        <w:rPr>
          <w:rFonts w:ascii="宋体" w:hAnsi="宋体"/>
          <w:color w:val="auto"/>
          <w:spacing w:val="-3"/>
          <w:sz w:val="21"/>
          <w:szCs w:val="21"/>
          <w:highlight w:val="none"/>
        </w:rPr>
        <w:t>）</w:t>
      </w:r>
      <w:r>
        <w:rPr>
          <w:rFonts w:ascii="宋体" w:hAnsi="宋体"/>
          <w:color w:val="auto"/>
          <w:sz w:val="21"/>
          <w:szCs w:val="21"/>
          <w:highlight w:val="none"/>
        </w:rPr>
        <w:t>保</w:t>
      </w:r>
      <w:r>
        <w:rPr>
          <w:rFonts w:ascii="宋体" w:hAnsi="宋体"/>
          <w:color w:val="auto"/>
          <w:spacing w:val="-3"/>
          <w:sz w:val="21"/>
          <w:szCs w:val="21"/>
          <w:highlight w:val="none"/>
        </w:rPr>
        <w:t>险</w:t>
      </w:r>
      <w:r>
        <w:rPr>
          <w:rFonts w:ascii="宋体" w:hAnsi="宋体"/>
          <w:color w:val="auto"/>
          <w:sz w:val="21"/>
          <w:szCs w:val="21"/>
          <w:highlight w:val="none"/>
        </w:rPr>
        <w:t>期</w:t>
      </w:r>
      <w:r>
        <w:rPr>
          <w:rFonts w:ascii="宋体" w:hAnsi="宋体"/>
          <w:color w:val="auto"/>
          <w:spacing w:val="-3"/>
          <w:sz w:val="21"/>
          <w:szCs w:val="21"/>
          <w:highlight w:val="none"/>
        </w:rPr>
        <w:t>限</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4"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29" w:name="_bookmark166"/>
      <w:bookmarkEnd w:id="829"/>
      <w:r>
        <w:rPr>
          <w:rFonts w:ascii="宋体" w:hAnsi="宋体" w:cs="宋体"/>
          <w:color w:val="auto"/>
          <w:szCs w:val="24"/>
          <w:highlight w:val="none"/>
        </w:rPr>
        <w:t>20.4</w:t>
      </w:r>
      <w:r>
        <w:rPr>
          <w:rFonts w:ascii="宋体" w:hAnsi="宋体" w:cs="宋体"/>
          <w:color w:val="auto"/>
          <w:szCs w:val="24"/>
          <w:highlight w:val="none"/>
        </w:rPr>
        <w:tab/>
      </w:r>
      <w:r>
        <w:rPr>
          <w:rFonts w:ascii="宋体" w:hAnsi="宋体" w:cs="宋体"/>
          <w:color w:val="auto"/>
          <w:szCs w:val="24"/>
          <w:highlight w:val="none"/>
        </w:rPr>
        <w:t>第三者责任险</w:t>
      </w:r>
    </w:p>
    <w:p>
      <w:pPr>
        <w:adjustRightInd/>
        <w:spacing w:before="3" w:line="240" w:lineRule="exact"/>
        <w:ind w:firstLine="0" w:firstLineChars="0"/>
        <w:textAlignment w:val="auto"/>
        <w:rPr>
          <w:rFonts w:ascii="Calibri" w:hAnsi="Calibri"/>
          <w:color w:val="auto"/>
          <w:szCs w:val="24"/>
          <w:highlight w:val="none"/>
        </w:rPr>
      </w:pPr>
    </w:p>
    <w:p>
      <w:pPr>
        <w:tabs>
          <w:tab w:val="left" w:pos="1420"/>
          <w:tab w:val="left" w:pos="3624"/>
          <w:tab w:val="left" w:pos="4735"/>
        </w:tabs>
        <w:adjustRightInd/>
        <w:spacing w:line="316" w:lineRule="auto"/>
        <w:ind w:left="158" w:right="150" w:firstLine="419" w:firstLineChars="0"/>
        <w:textAlignment w:val="auto"/>
        <w:rPr>
          <w:rFonts w:ascii="宋体" w:hAnsi="宋体"/>
          <w:color w:val="auto"/>
          <w:sz w:val="21"/>
          <w:szCs w:val="21"/>
          <w:highlight w:val="none"/>
        </w:rPr>
      </w:pPr>
      <w:r>
        <w:rPr>
          <w:rFonts w:ascii="宋体" w:hAnsi="宋体" w:cs="宋体"/>
          <w:color w:val="auto"/>
          <w:sz w:val="21"/>
          <w:szCs w:val="21"/>
          <w:highlight w:val="none"/>
        </w:rPr>
        <w:t>20.4.2</w:t>
      </w:r>
      <w:r>
        <w:rPr>
          <w:rFonts w:ascii="宋体" w:hAnsi="宋体" w:cs="宋体"/>
          <w:color w:val="auto"/>
          <w:sz w:val="21"/>
          <w:szCs w:val="21"/>
          <w:highlight w:val="none"/>
        </w:rPr>
        <w:tab/>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金额</w:t>
      </w:r>
      <w:r>
        <w:rPr>
          <w:rFonts w:ascii="宋体" w:hAnsi="宋体"/>
          <w:color w:val="auto"/>
          <w:spacing w:val="-43"/>
          <w:sz w:val="21"/>
          <w:szCs w:val="21"/>
          <w:highlight w:val="none"/>
        </w:rPr>
        <w:t>：</w:t>
      </w:r>
      <w:r>
        <w:rPr>
          <w:rFonts w:ascii="宋体" w:hAnsi="宋体"/>
          <w:color w:val="auto"/>
          <w:spacing w:val="-43"/>
          <w:sz w:val="21"/>
          <w:szCs w:val="21"/>
          <w:highlight w:val="none"/>
          <w:u w:val="single" w:color="000000"/>
        </w:rPr>
        <w:tab/>
      </w:r>
      <w:r>
        <w:rPr>
          <w:rFonts w:hint="eastAsia" w:ascii="宋体" w:hAnsi="宋体"/>
          <w:color w:val="auto"/>
          <w:spacing w:val="-43"/>
          <w:sz w:val="21"/>
          <w:szCs w:val="21"/>
          <w:highlight w:val="none"/>
          <w:u w:val="single" w:color="000000"/>
        </w:rPr>
        <w:t>/</w:t>
      </w:r>
      <w:r>
        <w:rPr>
          <w:rFonts w:ascii="宋体" w:hAnsi="宋体"/>
          <w:color w:val="auto"/>
          <w:spacing w:val="-43"/>
          <w:sz w:val="21"/>
          <w:szCs w:val="21"/>
          <w:highlight w:val="none"/>
          <w:u w:val="single" w:color="000000"/>
        </w:rPr>
        <w:tab/>
      </w:r>
      <w:r>
        <w:rPr>
          <w:rFonts w:ascii="宋体" w:hAnsi="宋体"/>
          <w:color w:val="auto"/>
          <w:spacing w:val="-46"/>
          <w:sz w:val="21"/>
          <w:szCs w:val="21"/>
          <w:highlight w:val="none"/>
        </w:rPr>
        <w:t>，</w:t>
      </w:r>
      <w:r>
        <w:rPr>
          <w:rFonts w:ascii="宋体" w:hAnsi="宋体"/>
          <w:color w:val="auto"/>
          <w:sz w:val="21"/>
          <w:szCs w:val="21"/>
          <w:highlight w:val="none"/>
        </w:rPr>
        <w:t>保</w:t>
      </w:r>
      <w:r>
        <w:rPr>
          <w:rFonts w:ascii="宋体" w:hAnsi="宋体"/>
          <w:color w:val="auto"/>
          <w:spacing w:val="-3"/>
          <w:sz w:val="21"/>
          <w:szCs w:val="21"/>
          <w:highlight w:val="none"/>
        </w:rPr>
        <w:t>险</w:t>
      </w:r>
      <w:r>
        <w:rPr>
          <w:rFonts w:ascii="宋体" w:hAnsi="宋体"/>
          <w:color w:val="auto"/>
          <w:sz w:val="21"/>
          <w:szCs w:val="21"/>
          <w:highlight w:val="none"/>
        </w:rPr>
        <w:t>费率</w:t>
      </w:r>
      <w:r>
        <w:rPr>
          <w:rFonts w:ascii="宋体" w:hAnsi="宋体"/>
          <w:color w:val="auto"/>
          <w:spacing w:val="-3"/>
          <w:sz w:val="21"/>
          <w:szCs w:val="21"/>
          <w:highlight w:val="none"/>
        </w:rPr>
        <w:t>由</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与</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同</w:t>
      </w:r>
      <w:r>
        <w:rPr>
          <w:rFonts w:ascii="宋体" w:hAnsi="宋体"/>
          <w:color w:val="auto"/>
          <w:sz w:val="21"/>
          <w:szCs w:val="21"/>
          <w:highlight w:val="none"/>
        </w:rPr>
        <w:t>意的</w:t>
      </w:r>
      <w:r>
        <w:rPr>
          <w:rFonts w:ascii="宋体" w:hAnsi="宋体"/>
          <w:color w:val="auto"/>
          <w:spacing w:val="-3"/>
          <w:sz w:val="21"/>
          <w:szCs w:val="21"/>
          <w:highlight w:val="none"/>
        </w:rPr>
        <w:t>保</w:t>
      </w:r>
      <w:r>
        <w:rPr>
          <w:rFonts w:ascii="宋体" w:hAnsi="宋体"/>
          <w:color w:val="auto"/>
          <w:sz w:val="21"/>
          <w:szCs w:val="21"/>
          <w:highlight w:val="none"/>
        </w:rPr>
        <w:t>险 人商</w:t>
      </w:r>
      <w:r>
        <w:rPr>
          <w:rFonts w:ascii="宋体" w:hAnsi="宋体"/>
          <w:color w:val="auto"/>
          <w:spacing w:val="-3"/>
          <w:sz w:val="21"/>
          <w:szCs w:val="21"/>
          <w:highlight w:val="none"/>
        </w:rPr>
        <w:t>定</w:t>
      </w:r>
      <w:r>
        <w:rPr>
          <w:rFonts w:ascii="宋体" w:hAnsi="宋体"/>
          <w:color w:val="auto"/>
          <w:sz w:val="21"/>
          <w:szCs w:val="21"/>
          <w:highlight w:val="none"/>
        </w:rPr>
        <w:t>，</w:t>
      </w:r>
      <w:r>
        <w:rPr>
          <w:rFonts w:ascii="宋体" w:hAnsi="宋体"/>
          <w:color w:val="auto"/>
          <w:spacing w:val="-3"/>
          <w:sz w:val="21"/>
          <w:szCs w:val="21"/>
          <w:highlight w:val="none"/>
        </w:rPr>
        <w:t>相</w:t>
      </w:r>
      <w:r>
        <w:rPr>
          <w:rFonts w:ascii="宋体" w:hAnsi="宋体"/>
          <w:color w:val="auto"/>
          <w:sz w:val="21"/>
          <w:szCs w:val="21"/>
          <w:highlight w:val="none"/>
        </w:rPr>
        <w:t>关</w:t>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费</w:t>
      </w:r>
      <w:r>
        <w:rPr>
          <w:rFonts w:ascii="宋体" w:hAnsi="宋体"/>
          <w:color w:val="auto"/>
          <w:sz w:val="21"/>
          <w:szCs w:val="21"/>
          <w:highlight w:val="none"/>
        </w:rPr>
        <w:t>由</w:t>
      </w:r>
      <w:r>
        <w:rPr>
          <w:rFonts w:ascii="宋体" w:hAnsi="宋体"/>
          <w:color w:val="auto"/>
          <w:sz w:val="21"/>
          <w:szCs w:val="21"/>
          <w:highlight w:val="none"/>
          <w:u w:val="single" w:color="000000"/>
        </w:rPr>
        <w:tab/>
      </w:r>
      <w:r>
        <w:rPr>
          <w:rFonts w:hint="eastAsia" w:ascii="宋体" w:hAnsi="宋体"/>
          <w:color w:val="auto"/>
          <w:sz w:val="21"/>
          <w:szCs w:val="21"/>
          <w:highlight w:val="none"/>
          <w:u w:val="single" w:color="000000"/>
        </w:rPr>
        <w:t>/</w:t>
      </w:r>
      <w:r>
        <w:rPr>
          <w:rFonts w:ascii="宋体" w:hAnsi="宋体"/>
          <w:color w:val="auto"/>
          <w:sz w:val="21"/>
          <w:szCs w:val="21"/>
          <w:highlight w:val="none"/>
        </w:rPr>
        <w:t>承</w:t>
      </w:r>
      <w:r>
        <w:rPr>
          <w:rFonts w:ascii="宋体" w:hAnsi="宋体"/>
          <w:color w:val="auto"/>
          <w:spacing w:val="-3"/>
          <w:sz w:val="21"/>
          <w:szCs w:val="21"/>
          <w:highlight w:val="none"/>
        </w:rPr>
        <w:t>担</w:t>
      </w:r>
      <w:r>
        <w:rPr>
          <w:rFonts w:ascii="宋体" w:hAnsi="宋体"/>
          <w:color w:val="auto"/>
          <w:sz w:val="21"/>
          <w:szCs w:val="21"/>
          <w:highlight w:val="none"/>
        </w:rPr>
        <w:t>。</w:t>
      </w:r>
    </w:p>
    <w:p>
      <w:pPr>
        <w:adjustRightInd/>
        <w:spacing w:before="7" w:line="150" w:lineRule="exact"/>
        <w:ind w:firstLine="0" w:firstLineChars="0"/>
        <w:textAlignment w:val="auto"/>
        <w:rPr>
          <w:rFonts w:ascii="Calibri" w:hAnsi="Calibri"/>
          <w:color w:val="auto"/>
          <w:sz w:val="15"/>
          <w:szCs w:val="15"/>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30" w:name="_bookmark167"/>
      <w:bookmarkEnd w:id="830"/>
      <w:r>
        <w:rPr>
          <w:rFonts w:ascii="宋体" w:hAnsi="宋体" w:cs="宋体"/>
          <w:color w:val="auto"/>
          <w:szCs w:val="24"/>
          <w:highlight w:val="none"/>
        </w:rPr>
        <w:t>20.5</w:t>
      </w:r>
      <w:r>
        <w:rPr>
          <w:rFonts w:ascii="宋体" w:hAnsi="宋体" w:cs="宋体"/>
          <w:color w:val="auto"/>
          <w:szCs w:val="24"/>
          <w:highlight w:val="none"/>
        </w:rPr>
        <w:tab/>
      </w:r>
      <w:r>
        <w:rPr>
          <w:rFonts w:ascii="宋体" w:hAnsi="宋体" w:cs="宋体"/>
          <w:color w:val="auto"/>
          <w:szCs w:val="24"/>
          <w:highlight w:val="none"/>
        </w:rPr>
        <w:t>其他保险</w:t>
      </w:r>
    </w:p>
    <w:p>
      <w:pPr>
        <w:adjustRightInd/>
        <w:spacing w:before="3" w:line="240" w:lineRule="exact"/>
        <w:ind w:firstLine="0" w:firstLineChars="0"/>
        <w:textAlignment w:val="auto"/>
        <w:rPr>
          <w:rFonts w:ascii="Calibri" w:hAnsi="Calibri"/>
          <w:color w:val="auto"/>
          <w:szCs w:val="24"/>
          <w:highlight w:val="none"/>
        </w:rPr>
      </w:pPr>
    </w:p>
    <w:p>
      <w:pPr>
        <w:tabs>
          <w:tab w:val="left" w:pos="8350"/>
        </w:tabs>
        <w:adjustRightInd/>
        <w:spacing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应</w:t>
      </w:r>
      <w:r>
        <w:rPr>
          <w:rFonts w:ascii="宋体" w:hAnsi="宋体"/>
          <w:color w:val="auto"/>
          <w:spacing w:val="-3"/>
          <w:sz w:val="21"/>
          <w:szCs w:val="21"/>
          <w:highlight w:val="none"/>
        </w:rPr>
        <w:t>为</w:t>
      </w:r>
      <w:r>
        <w:rPr>
          <w:rFonts w:ascii="宋体" w:hAnsi="宋体"/>
          <w:color w:val="auto"/>
          <w:sz w:val="21"/>
          <w:szCs w:val="21"/>
          <w:highlight w:val="none"/>
        </w:rPr>
        <w:t>其</w:t>
      </w:r>
      <w:r>
        <w:rPr>
          <w:rFonts w:ascii="宋体" w:hAnsi="宋体"/>
          <w:color w:val="auto"/>
          <w:spacing w:val="-3"/>
          <w:sz w:val="21"/>
          <w:szCs w:val="21"/>
          <w:highlight w:val="none"/>
        </w:rPr>
        <w:t>施</w:t>
      </w:r>
      <w:r>
        <w:rPr>
          <w:rFonts w:ascii="宋体" w:hAnsi="宋体"/>
          <w:color w:val="auto"/>
          <w:sz w:val="21"/>
          <w:szCs w:val="21"/>
          <w:highlight w:val="none"/>
        </w:rPr>
        <w:t>工</w:t>
      </w:r>
      <w:r>
        <w:rPr>
          <w:rFonts w:ascii="宋体" w:hAnsi="宋体"/>
          <w:color w:val="auto"/>
          <w:spacing w:val="-3"/>
          <w:sz w:val="21"/>
          <w:szCs w:val="21"/>
          <w:highlight w:val="none"/>
        </w:rPr>
        <w:t>设</w:t>
      </w:r>
      <w:r>
        <w:rPr>
          <w:rFonts w:ascii="宋体" w:hAnsi="宋体"/>
          <w:color w:val="auto"/>
          <w:sz w:val="21"/>
          <w:szCs w:val="21"/>
          <w:highlight w:val="none"/>
        </w:rPr>
        <w:t>备</w:t>
      </w:r>
      <w:r>
        <w:rPr>
          <w:rFonts w:ascii="宋体" w:hAnsi="宋体"/>
          <w:color w:val="auto"/>
          <w:spacing w:val="-3"/>
          <w:sz w:val="21"/>
          <w:szCs w:val="21"/>
          <w:highlight w:val="none"/>
        </w:rPr>
        <w:t>、</w:t>
      </w:r>
      <w:r>
        <w:rPr>
          <w:rFonts w:ascii="宋体" w:hAnsi="宋体"/>
          <w:color w:val="auto"/>
          <w:sz w:val="21"/>
          <w:szCs w:val="21"/>
          <w:highlight w:val="none"/>
        </w:rPr>
        <w:t>进场</w:t>
      </w:r>
      <w:r>
        <w:rPr>
          <w:rFonts w:ascii="宋体" w:hAnsi="宋体"/>
          <w:color w:val="auto"/>
          <w:spacing w:val="-3"/>
          <w:sz w:val="21"/>
          <w:szCs w:val="21"/>
          <w:highlight w:val="none"/>
        </w:rPr>
        <w:t>材</w:t>
      </w:r>
      <w:r>
        <w:rPr>
          <w:rFonts w:ascii="宋体" w:hAnsi="宋体"/>
          <w:color w:val="auto"/>
          <w:sz w:val="21"/>
          <w:szCs w:val="21"/>
          <w:highlight w:val="none"/>
        </w:rPr>
        <w:t>料</w:t>
      </w:r>
      <w:r>
        <w:rPr>
          <w:rFonts w:ascii="宋体" w:hAnsi="宋体"/>
          <w:color w:val="auto"/>
          <w:spacing w:val="-3"/>
          <w:sz w:val="21"/>
          <w:szCs w:val="21"/>
          <w:highlight w:val="none"/>
        </w:rPr>
        <w:t>和</w:t>
      </w:r>
      <w:r>
        <w:rPr>
          <w:rFonts w:ascii="宋体" w:hAnsi="宋体"/>
          <w:color w:val="auto"/>
          <w:sz w:val="21"/>
          <w:szCs w:val="21"/>
          <w:highlight w:val="none"/>
        </w:rPr>
        <w:t>工</w:t>
      </w:r>
      <w:r>
        <w:rPr>
          <w:rFonts w:ascii="宋体" w:hAnsi="宋体"/>
          <w:color w:val="auto"/>
          <w:spacing w:val="-3"/>
          <w:sz w:val="21"/>
          <w:szCs w:val="21"/>
          <w:highlight w:val="none"/>
        </w:rPr>
        <w:t>程</w:t>
      </w:r>
      <w:r>
        <w:rPr>
          <w:rFonts w:ascii="宋体" w:hAnsi="宋体"/>
          <w:color w:val="auto"/>
          <w:sz w:val="21"/>
          <w:szCs w:val="21"/>
          <w:highlight w:val="none"/>
        </w:rPr>
        <w:t>设</w:t>
      </w:r>
      <w:r>
        <w:rPr>
          <w:rFonts w:ascii="宋体" w:hAnsi="宋体"/>
          <w:color w:val="auto"/>
          <w:spacing w:val="-3"/>
          <w:sz w:val="21"/>
          <w:szCs w:val="21"/>
          <w:highlight w:val="none"/>
        </w:rPr>
        <w:t>备</w:t>
      </w:r>
      <w:r>
        <w:rPr>
          <w:rFonts w:ascii="宋体" w:hAnsi="宋体"/>
          <w:color w:val="auto"/>
          <w:sz w:val="21"/>
          <w:szCs w:val="21"/>
          <w:highlight w:val="none"/>
        </w:rPr>
        <w:t>等</w:t>
      </w:r>
      <w:r>
        <w:rPr>
          <w:rFonts w:ascii="宋体" w:hAnsi="宋体"/>
          <w:color w:val="auto"/>
          <w:spacing w:val="-3"/>
          <w:sz w:val="21"/>
          <w:szCs w:val="21"/>
          <w:highlight w:val="none"/>
        </w:rPr>
        <w:t>办</w:t>
      </w:r>
      <w:r>
        <w:rPr>
          <w:rFonts w:ascii="宋体" w:hAnsi="宋体"/>
          <w:color w:val="auto"/>
          <w:sz w:val="21"/>
          <w:szCs w:val="21"/>
          <w:highlight w:val="none"/>
        </w:rPr>
        <w:t>理的</w:t>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由承包人自行考虑</w:t>
      </w:r>
      <w:r>
        <w:rPr>
          <w:rFonts w:ascii="宋体" w:hAnsi="宋体"/>
          <w:color w:val="auto"/>
          <w:sz w:val="21"/>
          <w:szCs w:val="21"/>
          <w:highlight w:val="none"/>
          <w:u w:val="single" w:color="000000"/>
        </w:rPr>
        <w:tab/>
      </w:r>
    </w:p>
    <w:p>
      <w:pPr>
        <w:adjustRightInd/>
        <w:spacing w:line="200" w:lineRule="exact"/>
        <w:ind w:firstLine="0" w:firstLineChars="0"/>
        <w:textAlignment w:val="auto"/>
        <w:rPr>
          <w:rFonts w:ascii="Calibri" w:hAnsi="Calibri"/>
          <w:color w:val="auto"/>
          <w:sz w:val="20"/>
          <w:highlight w:val="none"/>
        </w:rPr>
      </w:pPr>
    </w:p>
    <w:p>
      <w:pPr>
        <w:adjustRightInd/>
        <w:spacing w:before="9" w:line="220" w:lineRule="exact"/>
        <w:ind w:firstLine="0" w:firstLineChars="0"/>
        <w:textAlignment w:val="auto"/>
        <w:rPr>
          <w:rFonts w:ascii="Calibri" w:hAnsi="Calibri"/>
          <w:color w:val="auto"/>
          <w:sz w:val="22"/>
          <w:szCs w:val="22"/>
          <w:highlight w:val="none"/>
        </w:rPr>
      </w:pPr>
    </w:p>
    <w:p>
      <w:pPr>
        <w:tabs>
          <w:tab w:val="left" w:pos="877"/>
        </w:tabs>
        <w:adjustRightInd/>
        <w:spacing w:line="340" w:lineRule="exact"/>
        <w:ind w:left="158" w:firstLine="0" w:firstLineChars="0"/>
        <w:textAlignment w:val="auto"/>
        <w:rPr>
          <w:rFonts w:ascii="宋体" w:hAnsi="宋体" w:cs="宋体"/>
          <w:color w:val="auto"/>
          <w:szCs w:val="24"/>
          <w:highlight w:val="none"/>
        </w:rPr>
      </w:pPr>
      <w:bookmarkStart w:id="831" w:name="_bookmark168"/>
      <w:bookmarkEnd w:id="831"/>
      <w:r>
        <w:rPr>
          <w:rFonts w:ascii="宋体" w:hAnsi="宋体" w:cs="宋体"/>
          <w:color w:val="auto"/>
          <w:szCs w:val="24"/>
          <w:highlight w:val="none"/>
        </w:rPr>
        <w:t>20.6</w:t>
      </w:r>
      <w:r>
        <w:rPr>
          <w:rFonts w:ascii="宋体" w:hAnsi="宋体" w:cs="宋体"/>
          <w:color w:val="auto"/>
          <w:szCs w:val="24"/>
          <w:highlight w:val="none"/>
        </w:rPr>
        <w:tab/>
      </w:r>
      <w:r>
        <w:rPr>
          <w:rFonts w:ascii="宋体" w:hAnsi="宋体" w:cs="宋体"/>
          <w:color w:val="auto"/>
          <w:szCs w:val="24"/>
          <w:highlight w:val="none"/>
        </w:rPr>
        <w:t>对各项保险的一般要求</w:t>
      </w:r>
    </w:p>
    <w:p>
      <w:pPr>
        <w:adjustRightInd/>
        <w:spacing w:before="6" w:line="240" w:lineRule="exact"/>
        <w:ind w:firstLine="0" w:firstLineChars="0"/>
        <w:textAlignment w:val="auto"/>
        <w:rPr>
          <w:rFonts w:ascii="Calibri" w:hAnsi="Calibri"/>
          <w:color w:val="auto"/>
          <w:szCs w:val="24"/>
          <w:highlight w:val="none"/>
        </w:rPr>
      </w:pPr>
    </w:p>
    <w:p>
      <w:pPr>
        <w:tabs>
          <w:tab w:val="left" w:pos="142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20.6.1</w:t>
      </w:r>
      <w:r>
        <w:rPr>
          <w:rFonts w:ascii="宋体" w:hAnsi="宋体" w:cs="宋体"/>
          <w:color w:val="auto"/>
          <w:sz w:val="21"/>
          <w:szCs w:val="21"/>
          <w:highlight w:val="none"/>
        </w:rPr>
        <w:tab/>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凭</w:t>
      </w:r>
      <w:r>
        <w:rPr>
          <w:rFonts w:ascii="宋体" w:hAnsi="宋体"/>
          <w:color w:val="auto"/>
          <w:sz w:val="21"/>
          <w:szCs w:val="21"/>
          <w:highlight w:val="none"/>
        </w:rPr>
        <w:t>证</w:t>
      </w:r>
    </w:p>
    <w:p>
      <w:pPr>
        <w:tabs>
          <w:tab w:val="left" w:pos="8247"/>
        </w:tabs>
        <w:adjustRightInd/>
        <w:spacing w:before="98"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承包</w:t>
      </w:r>
      <w:r>
        <w:rPr>
          <w:rFonts w:ascii="宋体" w:hAnsi="宋体"/>
          <w:color w:val="auto"/>
          <w:spacing w:val="-3"/>
          <w:sz w:val="21"/>
          <w:szCs w:val="21"/>
          <w:highlight w:val="none"/>
        </w:rPr>
        <w:t>人</w:t>
      </w:r>
      <w:r>
        <w:rPr>
          <w:rFonts w:ascii="宋体" w:hAnsi="宋体"/>
          <w:color w:val="auto"/>
          <w:sz w:val="21"/>
          <w:szCs w:val="21"/>
          <w:highlight w:val="none"/>
        </w:rPr>
        <w:t>向</w:t>
      </w:r>
      <w:r>
        <w:rPr>
          <w:rFonts w:ascii="宋体" w:hAnsi="宋体"/>
          <w:color w:val="auto"/>
          <w:spacing w:val="-3"/>
          <w:sz w:val="21"/>
          <w:szCs w:val="21"/>
          <w:highlight w:val="none"/>
        </w:rPr>
        <w:t>发</w:t>
      </w:r>
      <w:r>
        <w:rPr>
          <w:rFonts w:ascii="宋体" w:hAnsi="宋体"/>
          <w:color w:val="auto"/>
          <w:sz w:val="21"/>
          <w:szCs w:val="21"/>
          <w:highlight w:val="none"/>
        </w:rPr>
        <w:t>包</w:t>
      </w:r>
      <w:r>
        <w:rPr>
          <w:rFonts w:ascii="宋体" w:hAnsi="宋体"/>
          <w:color w:val="auto"/>
          <w:spacing w:val="-3"/>
          <w:sz w:val="21"/>
          <w:szCs w:val="21"/>
          <w:highlight w:val="none"/>
        </w:rPr>
        <w:t>人</w:t>
      </w:r>
      <w:r>
        <w:rPr>
          <w:rFonts w:ascii="宋体" w:hAnsi="宋体"/>
          <w:color w:val="auto"/>
          <w:sz w:val="21"/>
          <w:szCs w:val="21"/>
          <w:highlight w:val="none"/>
        </w:rPr>
        <w:t>提</w:t>
      </w:r>
      <w:r>
        <w:rPr>
          <w:rFonts w:ascii="宋体" w:hAnsi="宋体"/>
          <w:color w:val="auto"/>
          <w:spacing w:val="-3"/>
          <w:sz w:val="21"/>
          <w:szCs w:val="21"/>
          <w:highlight w:val="none"/>
        </w:rPr>
        <w:t>交</w:t>
      </w:r>
      <w:r>
        <w:rPr>
          <w:rFonts w:ascii="宋体" w:hAnsi="宋体"/>
          <w:color w:val="auto"/>
          <w:sz w:val="21"/>
          <w:szCs w:val="21"/>
          <w:highlight w:val="none"/>
        </w:rPr>
        <w:t>各</w:t>
      </w:r>
      <w:r>
        <w:rPr>
          <w:rFonts w:ascii="宋体" w:hAnsi="宋体"/>
          <w:color w:val="auto"/>
          <w:spacing w:val="-3"/>
          <w:sz w:val="21"/>
          <w:szCs w:val="21"/>
          <w:highlight w:val="none"/>
        </w:rPr>
        <w:t>项</w:t>
      </w:r>
      <w:r>
        <w:rPr>
          <w:rFonts w:ascii="宋体" w:hAnsi="宋体"/>
          <w:color w:val="auto"/>
          <w:sz w:val="21"/>
          <w:szCs w:val="21"/>
          <w:highlight w:val="none"/>
        </w:rPr>
        <w:t>保险</w:t>
      </w:r>
      <w:r>
        <w:rPr>
          <w:rFonts w:ascii="宋体" w:hAnsi="宋体"/>
          <w:color w:val="auto"/>
          <w:spacing w:val="-3"/>
          <w:sz w:val="21"/>
          <w:szCs w:val="21"/>
          <w:highlight w:val="none"/>
        </w:rPr>
        <w:t>生</w:t>
      </w:r>
      <w:r>
        <w:rPr>
          <w:rFonts w:ascii="宋体" w:hAnsi="宋体"/>
          <w:color w:val="auto"/>
          <w:sz w:val="21"/>
          <w:szCs w:val="21"/>
          <w:highlight w:val="none"/>
        </w:rPr>
        <w:t>效</w:t>
      </w:r>
      <w:r>
        <w:rPr>
          <w:rFonts w:ascii="宋体" w:hAnsi="宋体"/>
          <w:color w:val="auto"/>
          <w:spacing w:val="-3"/>
          <w:sz w:val="21"/>
          <w:szCs w:val="21"/>
          <w:highlight w:val="none"/>
        </w:rPr>
        <w:t>的</w:t>
      </w:r>
      <w:r>
        <w:rPr>
          <w:rFonts w:ascii="宋体" w:hAnsi="宋体"/>
          <w:color w:val="auto"/>
          <w:sz w:val="21"/>
          <w:szCs w:val="21"/>
          <w:highlight w:val="none"/>
        </w:rPr>
        <w:t>证</w:t>
      </w:r>
      <w:r>
        <w:rPr>
          <w:rFonts w:ascii="宋体" w:hAnsi="宋体"/>
          <w:color w:val="auto"/>
          <w:spacing w:val="-3"/>
          <w:sz w:val="21"/>
          <w:szCs w:val="21"/>
          <w:highlight w:val="none"/>
        </w:rPr>
        <w:t>据</w:t>
      </w:r>
      <w:r>
        <w:rPr>
          <w:rFonts w:ascii="宋体" w:hAnsi="宋体"/>
          <w:color w:val="auto"/>
          <w:sz w:val="21"/>
          <w:szCs w:val="21"/>
          <w:highlight w:val="none"/>
        </w:rPr>
        <w:t>和</w:t>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单</w:t>
      </w:r>
      <w:r>
        <w:rPr>
          <w:rFonts w:ascii="宋体" w:hAnsi="宋体"/>
          <w:color w:val="auto"/>
          <w:sz w:val="21"/>
          <w:szCs w:val="21"/>
          <w:highlight w:val="none"/>
        </w:rPr>
        <w:t>副本</w:t>
      </w:r>
      <w:r>
        <w:rPr>
          <w:rFonts w:ascii="宋体" w:hAnsi="宋体"/>
          <w:color w:val="auto"/>
          <w:spacing w:val="-3"/>
          <w:sz w:val="21"/>
          <w:szCs w:val="21"/>
          <w:highlight w:val="none"/>
        </w:rPr>
        <w:t>的</w:t>
      </w:r>
      <w:r>
        <w:rPr>
          <w:rFonts w:ascii="宋体" w:hAnsi="宋体"/>
          <w:color w:val="auto"/>
          <w:sz w:val="21"/>
          <w:szCs w:val="21"/>
          <w:highlight w:val="none"/>
        </w:rPr>
        <w:t>期</w:t>
      </w:r>
      <w:r>
        <w:rPr>
          <w:rFonts w:ascii="宋体" w:hAnsi="宋体"/>
          <w:color w:val="auto"/>
          <w:spacing w:val="-3"/>
          <w:sz w:val="21"/>
          <w:szCs w:val="21"/>
          <w:highlight w:val="none"/>
        </w:rPr>
        <w:t>限</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7" w:line="100" w:lineRule="exact"/>
        <w:ind w:firstLine="0" w:firstLineChars="0"/>
        <w:textAlignment w:val="auto"/>
        <w:rPr>
          <w:rFonts w:ascii="Calibri" w:hAnsi="Calibri"/>
          <w:color w:val="auto"/>
          <w:sz w:val="10"/>
          <w:szCs w:val="10"/>
          <w:highlight w:val="none"/>
        </w:rPr>
      </w:pPr>
    </w:p>
    <w:p>
      <w:pPr>
        <w:tabs>
          <w:tab w:val="left" w:pos="1420"/>
          <w:tab w:val="left" w:pos="8247"/>
        </w:tabs>
        <w:adjustRightInd/>
        <w:spacing w:before="1" w:line="316" w:lineRule="auto"/>
        <w:ind w:left="578" w:right="3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20.6.4</w:t>
      </w:r>
      <w:r>
        <w:rPr>
          <w:rFonts w:ascii="宋体" w:hAnsi="宋体" w:cs="宋体"/>
          <w:color w:val="auto"/>
          <w:sz w:val="21"/>
          <w:szCs w:val="21"/>
          <w:highlight w:val="none"/>
        </w:rPr>
        <w:tab/>
      </w:r>
      <w:r>
        <w:rPr>
          <w:rFonts w:ascii="宋体" w:hAnsi="宋体"/>
          <w:color w:val="auto"/>
          <w:spacing w:val="-3"/>
          <w:sz w:val="21"/>
          <w:szCs w:val="21"/>
          <w:highlight w:val="none"/>
        </w:rPr>
        <w:t>保</w:t>
      </w:r>
      <w:r>
        <w:rPr>
          <w:rFonts w:ascii="宋体" w:hAnsi="宋体"/>
          <w:color w:val="auto"/>
          <w:sz w:val="21"/>
          <w:szCs w:val="21"/>
          <w:highlight w:val="none"/>
        </w:rPr>
        <w:t>险</w:t>
      </w:r>
      <w:r>
        <w:rPr>
          <w:rFonts w:ascii="宋体" w:hAnsi="宋体"/>
          <w:color w:val="auto"/>
          <w:spacing w:val="-3"/>
          <w:sz w:val="21"/>
          <w:szCs w:val="21"/>
          <w:highlight w:val="none"/>
        </w:rPr>
        <w:t>金</w:t>
      </w:r>
      <w:r>
        <w:rPr>
          <w:rFonts w:ascii="宋体" w:hAnsi="宋体"/>
          <w:color w:val="auto"/>
          <w:sz w:val="21"/>
          <w:szCs w:val="21"/>
          <w:highlight w:val="none"/>
        </w:rPr>
        <w:t>不</w:t>
      </w:r>
      <w:r>
        <w:rPr>
          <w:rFonts w:ascii="宋体" w:hAnsi="宋体"/>
          <w:color w:val="auto"/>
          <w:spacing w:val="-3"/>
          <w:sz w:val="21"/>
          <w:szCs w:val="21"/>
          <w:highlight w:val="none"/>
        </w:rPr>
        <w:t>足</w:t>
      </w:r>
      <w:r>
        <w:rPr>
          <w:rFonts w:ascii="宋体" w:hAnsi="宋体"/>
          <w:color w:val="auto"/>
          <w:sz w:val="21"/>
          <w:szCs w:val="21"/>
          <w:highlight w:val="none"/>
        </w:rPr>
        <w:t>的</w:t>
      </w:r>
      <w:r>
        <w:rPr>
          <w:rFonts w:ascii="宋体" w:hAnsi="宋体"/>
          <w:color w:val="auto"/>
          <w:spacing w:val="-3"/>
          <w:sz w:val="21"/>
          <w:szCs w:val="21"/>
          <w:highlight w:val="none"/>
        </w:rPr>
        <w:t>补</w:t>
      </w:r>
      <w:r>
        <w:rPr>
          <w:rFonts w:ascii="宋体" w:hAnsi="宋体"/>
          <w:color w:val="auto"/>
          <w:sz w:val="21"/>
          <w:szCs w:val="21"/>
          <w:highlight w:val="none"/>
        </w:rPr>
        <w:t>偿 保险</w:t>
      </w:r>
      <w:r>
        <w:rPr>
          <w:rFonts w:ascii="宋体" w:hAnsi="宋体"/>
          <w:color w:val="auto"/>
          <w:spacing w:val="-3"/>
          <w:sz w:val="21"/>
          <w:szCs w:val="21"/>
          <w:highlight w:val="none"/>
        </w:rPr>
        <w:t>金</w:t>
      </w:r>
      <w:r>
        <w:rPr>
          <w:rFonts w:ascii="宋体" w:hAnsi="宋体"/>
          <w:color w:val="auto"/>
          <w:sz w:val="21"/>
          <w:szCs w:val="21"/>
          <w:highlight w:val="none"/>
        </w:rPr>
        <w:t>不</w:t>
      </w:r>
      <w:r>
        <w:rPr>
          <w:rFonts w:ascii="宋体" w:hAnsi="宋体"/>
          <w:color w:val="auto"/>
          <w:spacing w:val="-3"/>
          <w:sz w:val="21"/>
          <w:szCs w:val="21"/>
          <w:highlight w:val="none"/>
        </w:rPr>
        <w:t>足</w:t>
      </w:r>
      <w:r>
        <w:rPr>
          <w:rFonts w:ascii="宋体" w:hAnsi="宋体"/>
          <w:color w:val="auto"/>
          <w:sz w:val="21"/>
          <w:szCs w:val="21"/>
          <w:highlight w:val="none"/>
        </w:rPr>
        <w:t>以</w:t>
      </w:r>
      <w:r>
        <w:rPr>
          <w:rFonts w:ascii="宋体" w:hAnsi="宋体"/>
          <w:color w:val="auto"/>
          <w:spacing w:val="-3"/>
          <w:sz w:val="21"/>
          <w:szCs w:val="21"/>
          <w:highlight w:val="none"/>
        </w:rPr>
        <w:t>补</w:t>
      </w:r>
      <w:r>
        <w:rPr>
          <w:rFonts w:ascii="宋体" w:hAnsi="宋体"/>
          <w:color w:val="auto"/>
          <w:sz w:val="21"/>
          <w:szCs w:val="21"/>
          <w:highlight w:val="none"/>
        </w:rPr>
        <w:t>偿</w:t>
      </w:r>
      <w:r>
        <w:rPr>
          <w:rFonts w:ascii="宋体" w:hAnsi="宋体"/>
          <w:color w:val="auto"/>
          <w:spacing w:val="-3"/>
          <w:sz w:val="21"/>
          <w:szCs w:val="21"/>
          <w:highlight w:val="none"/>
        </w:rPr>
        <w:t>损</w:t>
      </w:r>
      <w:r>
        <w:rPr>
          <w:rFonts w:ascii="宋体" w:hAnsi="宋体"/>
          <w:color w:val="auto"/>
          <w:sz w:val="21"/>
          <w:szCs w:val="21"/>
          <w:highlight w:val="none"/>
        </w:rPr>
        <w:t>失</w:t>
      </w:r>
      <w:r>
        <w:rPr>
          <w:rFonts w:ascii="宋体" w:hAnsi="宋体"/>
          <w:color w:val="auto"/>
          <w:spacing w:val="-3"/>
          <w:sz w:val="21"/>
          <w:szCs w:val="21"/>
          <w:highlight w:val="none"/>
        </w:rPr>
        <w:t>时</w:t>
      </w:r>
      <w:r>
        <w:rPr>
          <w:rFonts w:ascii="宋体" w:hAnsi="宋体"/>
          <w:color w:val="auto"/>
          <w:sz w:val="21"/>
          <w:szCs w:val="21"/>
          <w:highlight w:val="none"/>
        </w:rPr>
        <w:t>，承</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和</w:t>
      </w:r>
      <w:r>
        <w:rPr>
          <w:rFonts w:ascii="宋体" w:hAnsi="宋体"/>
          <w:color w:val="auto"/>
          <w:sz w:val="21"/>
          <w:szCs w:val="21"/>
          <w:highlight w:val="none"/>
        </w:rPr>
        <w:t>发</w:t>
      </w:r>
      <w:r>
        <w:rPr>
          <w:rFonts w:ascii="宋体" w:hAnsi="宋体"/>
          <w:color w:val="auto"/>
          <w:spacing w:val="-3"/>
          <w:sz w:val="21"/>
          <w:szCs w:val="21"/>
          <w:highlight w:val="none"/>
        </w:rPr>
        <w:t>包</w:t>
      </w:r>
      <w:r>
        <w:rPr>
          <w:rFonts w:ascii="宋体" w:hAnsi="宋体"/>
          <w:color w:val="auto"/>
          <w:sz w:val="21"/>
          <w:szCs w:val="21"/>
          <w:highlight w:val="none"/>
        </w:rPr>
        <w:t>人</w:t>
      </w:r>
      <w:r>
        <w:rPr>
          <w:rFonts w:ascii="宋体" w:hAnsi="宋体"/>
          <w:color w:val="auto"/>
          <w:spacing w:val="-3"/>
          <w:sz w:val="21"/>
          <w:szCs w:val="21"/>
          <w:highlight w:val="none"/>
        </w:rPr>
        <w:t>负</w:t>
      </w:r>
      <w:r>
        <w:rPr>
          <w:rFonts w:ascii="宋体" w:hAnsi="宋体"/>
          <w:color w:val="auto"/>
          <w:sz w:val="21"/>
          <w:szCs w:val="21"/>
          <w:highlight w:val="none"/>
        </w:rPr>
        <w:t>责</w:t>
      </w:r>
      <w:r>
        <w:rPr>
          <w:rFonts w:ascii="宋体" w:hAnsi="宋体"/>
          <w:color w:val="auto"/>
          <w:spacing w:val="-3"/>
          <w:sz w:val="21"/>
          <w:szCs w:val="21"/>
          <w:highlight w:val="none"/>
        </w:rPr>
        <w:t>补</w:t>
      </w:r>
      <w:r>
        <w:rPr>
          <w:rFonts w:ascii="宋体" w:hAnsi="宋体"/>
          <w:color w:val="auto"/>
          <w:sz w:val="21"/>
          <w:szCs w:val="21"/>
          <w:highlight w:val="none"/>
        </w:rPr>
        <w:t>偿的</w:t>
      </w:r>
      <w:r>
        <w:rPr>
          <w:rFonts w:ascii="宋体" w:hAnsi="宋体"/>
          <w:color w:val="auto"/>
          <w:spacing w:val="-3"/>
          <w:sz w:val="21"/>
          <w:szCs w:val="21"/>
          <w:highlight w:val="none"/>
        </w:rPr>
        <w:t>责</w:t>
      </w:r>
      <w:r>
        <w:rPr>
          <w:rFonts w:ascii="宋体" w:hAnsi="宋体"/>
          <w:color w:val="auto"/>
          <w:sz w:val="21"/>
          <w:szCs w:val="21"/>
          <w:highlight w:val="none"/>
        </w:rPr>
        <w:t>任</w:t>
      </w:r>
      <w:r>
        <w:rPr>
          <w:rFonts w:ascii="宋体" w:hAnsi="宋体"/>
          <w:color w:val="auto"/>
          <w:spacing w:val="-3"/>
          <w:sz w:val="21"/>
          <w:szCs w:val="21"/>
          <w:highlight w:val="none"/>
        </w:rPr>
        <w:t>分</w:t>
      </w:r>
      <w:r>
        <w:rPr>
          <w:rFonts w:ascii="宋体" w:hAnsi="宋体"/>
          <w:color w:val="auto"/>
          <w:sz w:val="21"/>
          <w:szCs w:val="21"/>
          <w:highlight w:val="none"/>
        </w:rPr>
        <w:t>摊</w:t>
      </w:r>
      <w:r>
        <w:rPr>
          <w:rFonts w:ascii="宋体" w:hAnsi="宋体"/>
          <w:color w:val="auto"/>
          <w:spacing w:val="-3"/>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8" w:line="100" w:lineRule="exact"/>
        <w:ind w:firstLine="0" w:firstLineChars="0"/>
        <w:textAlignment w:val="auto"/>
        <w:rPr>
          <w:rFonts w:ascii="Calibri" w:hAnsi="Calibri"/>
          <w:color w:val="auto"/>
          <w:sz w:val="10"/>
          <w:szCs w:val="10"/>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32" w:name="_bookmark169"/>
      <w:bookmarkEnd w:id="832"/>
      <w:r>
        <w:rPr>
          <w:rFonts w:ascii="宋体" w:hAnsi="宋体" w:cs="宋体"/>
          <w:color w:val="auto"/>
          <w:sz w:val="28"/>
          <w:szCs w:val="28"/>
          <w:highlight w:val="none"/>
        </w:rPr>
        <w:t>2</w:t>
      </w:r>
      <w:r>
        <w:rPr>
          <w:rFonts w:ascii="宋体" w:hAnsi="宋体" w:cs="宋体"/>
          <w:color w:val="auto"/>
          <w:spacing w:val="-2"/>
          <w:sz w:val="28"/>
          <w:szCs w:val="28"/>
          <w:highlight w:val="none"/>
        </w:rPr>
        <w:t>1</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不</w:t>
      </w:r>
      <w:r>
        <w:rPr>
          <w:rFonts w:ascii="宋体" w:hAnsi="宋体" w:cs="宋体"/>
          <w:color w:val="auto"/>
          <w:sz w:val="28"/>
          <w:szCs w:val="28"/>
          <w:highlight w:val="none"/>
        </w:rPr>
        <w:t>可抗力</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33" w:name="_bookmark170"/>
      <w:bookmarkEnd w:id="833"/>
      <w:r>
        <w:rPr>
          <w:rFonts w:ascii="宋体" w:hAnsi="宋体" w:cs="宋体"/>
          <w:color w:val="auto"/>
          <w:szCs w:val="24"/>
          <w:highlight w:val="none"/>
        </w:rPr>
        <w:t>21.1</w:t>
      </w:r>
      <w:r>
        <w:rPr>
          <w:rFonts w:ascii="宋体" w:hAnsi="宋体" w:cs="宋体"/>
          <w:color w:val="auto"/>
          <w:szCs w:val="24"/>
          <w:highlight w:val="none"/>
        </w:rPr>
        <w:tab/>
      </w:r>
      <w:r>
        <w:rPr>
          <w:rFonts w:ascii="宋体" w:hAnsi="宋体" w:cs="宋体"/>
          <w:color w:val="auto"/>
          <w:szCs w:val="24"/>
          <w:highlight w:val="none"/>
        </w:rPr>
        <w:t>不可抗力的确认</w:t>
      </w:r>
    </w:p>
    <w:p>
      <w:pPr>
        <w:adjustRightInd/>
        <w:spacing w:before="3" w:line="240" w:lineRule="exact"/>
        <w:ind w:firstLine="0" w:firstLineChars="0"/>
        <w:textAlignment w:val="auto"/>
        <w:rPr>
          <w:rFonts w:ascii="Calibri" w:hAnsi="Calibri"/>
          <w:color w:val="auto"/>
          <w:szCs w:val="24"/>
          <w:highlight w:val="none"/>
        </w:rPr>
      </w:pPr>
    </w:p>
    <w:p>
      <w:pPr>
        <w:tabs>
          <w:tab w:val="left" w:pos="1420"/>
          <w:tab w:val="left" w:pos="8470"/>
        </w:tabs>
        <w:adjustRightInd/>
        <w:spacing w:line="240" w:lineRule="auto"/>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21.1.1</w:t>
      </w:r>
      <w:r>
        <w:rPr>
          <w:rFonts w:ascii="宋体" w:hAnsi="宋体" w:cs="宋体"/>
          <w:color w:val="auto"/>
          <w:sz w:val="21"/>
          <w:szCs w:val="21"/>
          <w:highlight w:val="none"/>
        </w:rPr>
        <w:tab/>
      </w:r>
      <w:r>
        <w:rPr>
          <w:rFonts w:ascii="宋体" w:hAnsi="宋体"/>
          <w:color w:val="auto"/>
          <w:spacing w:val="-3"/>
          <w:sz w:val="21"/>
          <w:szCs w:val="21"/>
          <w:highlight w:val="none"/>
        </w:rPr>
        <w:t>合</w:t>
      </w:r>
      <w:r>
        <w:rPr>
          <w:rFonts w:ascii="宋体" w:hAnsi="宋体"/>
          <w:color w:val="auto"/>
          <w:sz w:val="21"/>
          <w:szCs w:val="21"/>
          <w:highlight w:val="none"/>
        </w:rPr>
        <w:t>同</w:t>
      </w:r>
      <w:r>
        <w:rPr>
          <w:rFonts w:ascii="宋体" w:hAnsi="宋体"/>
          <w:color w:val="auto"/>
          <w:spacing w:val="-3"/>
          <w:sz w:val="21"/>
          <w:szCs w:val="21"/>
          <w:highlight w:val="none"/>
        </w:rPr>
        <w:t>条</w:t>
      </w:r>
      <w:r>
        <w:rPr>
          <w:rFonts w:ascii="宋体" w:hAnsi="宋体"/>
          <w:color w:val="auto"/>
          <w:sz w:val="21"/>
          <w:szCs w:val="21"/>
          <w:highlight w:val="none"/>
        </w:rPr>
        <w:t>款</w:t>
      </w:r>
      <w:r>
        <w:rPr>
          <w:rFonts w:ascii="宋体" w:hAnsi="宋体"/>
          <w:color w:val="auto"/>
          <w:spacing w:val="-3"/>
          <w:sz w:val="21"/>
          <w:szCs w:val="21"/>
          <w:highlight w:val="none"/>
        </w:rPr>
        <w:t>通</w:t>
      </w:r>
      <w:r>
        <w:rPr>
          <w:rFonts w:ascii="宋体" w:hAnsi="宋体"/>
          <w:color w:val="auto"/>
          <w:sz w:val="21"/>
          <w:szCs w:val="21"/>
          <w:highlight w:val="none"/>
        </w:rPr>
        <w:t>用</w:t>
      </w:r>
      <w:r>
        <w:rPr>
          <w:rFonts w:ascii="宋体" w:hAnsi="宋体"/>
          <w:color w:val="auto"/>
          <w:spacing w:val="-3"/>
          <w:sz w:val="21"/>
          <w:szCs w:val="21"/>
          <w:highlight w:val="none"/>
        </w:rPr>
        <w:t>部</w:t>
      </w:r>
      <w:r>
        <w:rPr>
          <w:rFonts w:ascii="宋体" w:hAnsi="宋体"/>
          <w:color w:val="auto"/>
          <w:sz w:val="21"/>
          <w:szCs w:val="21"/>
          <w:highlight w:val="none"/>
        </w:rPr>
        <w:t>分第</w:t>
      </w:r>
      <w:r>
        <w:rPr>
          <w:rFonts w:ascii="宋体" w:hAnsi="宋体" w:cs="宋体"/>
          <w:color w:val="auto"/>
          <w:spacing w:val="-3"/>
          <w:sz w:val="21"/>
          <w:szCs w:val="21"/>
          <w:highlight w:val="none"/>
        </w:rPr>
        <w:t>2</w:t>
      </w:r>
      <w:r>
        <w:rPr>
          <w:rFonts w:ascii="宋体" w:hAnsi="宋体" w:cs="宋体"/>
          <w:color w:val="auto"/>
          <w:sz w:val="21"/>
          <w:szCs w:val="21"/>
          <w:highlight w:val="none"/>
        </w:rPr>
        <w:t>1.1</w:t>
      </w:r>
      <w:r>
        <w:rPr>
          <w:rFonts w:ascii="宋体" w:hAnsi="宋体" w:cs="宋体"/>
          <w:color w:val="auto"/>
          <w:spacing w:val="-3"/>
          <w:sz w:val="21"/>
          <w:szCs w:val="21"/>
          <w:highlight w:val="none"/>
        </w:rPr>
        <w:t>.</w:t>
      </w:r>
      <w:r>
        <w:rPr>
          <w:rFonts w:ascii="宋体" w:hAnsi="宋体" w:cs="宋体"/>
          <w:color w:val="auto"/>
          <w:sz w:val="21"/>
          <w:szCs w:val="21"/>
          <w:highlight w:val="none"/>
        </w:rPr>
        <w:t>1</w:t>
      </w:r>
      <w:r>
        <w:rPr>
          <w:rFonts w:ascii="宋体" w:hAnsi="宋体"/>
          <w:color w:val="auto"/>
          <w:spacing w:val="-3"/>
          <w:sz w:val="21"/>
          <w:szCs w:val="21"/>
          <w:highlight w:val="none"/>
        </w:rPr>
        <w:t>项</w:t>
      </w:r>
      <w:r>
        <w:rPr>
          <w:rFonts w:ascii="宋体" w:hAnsi="宋体"/>
          <w:color w:val="auto"/>
          <w:sz w:val="21"/>
          <w:szCs w:val="21"/>
          <w:highlight w:val="none"/>
        </w:rPr>
        <w:t>约</w:t>
      </w:r>
      <w:r>
        <w:rPr>
          <w:rFonts w:ascii="宋体" w:hAnsi="宋体"/>
          <w:color w:val="auto"/>
          <w:spacing w:val="-3"/>
          <w:sz w:val="21"/>
          <w:szCs w:val="21"/>
          <w:highlight w:val="none"/>
        </w:rPr>
        <w:t>定</w:t>
      </w:r>
      <w:r>
        <w:rPr>
          <w:rFonts w:ascii="宋体" w:hAnsi="宋体"/>
          <w:color w:val="auto"/>
          <w:sz w:val="21"/>
          <w:szCs w:val="21"/>
          <w:highlight w:val="none"/>
        </w:rPr>
        <w:t>的</w:t>
      </w:r>
      <w:r>
        <w:rPr>
          <w:rFonts w:ascii="宋体" w:hAnsi="宋体"/>
          <w:color w:val="auto"/>
          <w:spacing w:val="-3"/>
          <w:sz w:val="21"/>
          <w:szCs w:val="21"/>
          <w:highlight w:val="none"/>
        </w:rPr>
        <w:t>不可</w:t>
      </w:r>
      <w:r>
        <w:rPr>
          <w:rFonts w:ascii="宋体" w:hAnsi="宋体"/>
          <w:color w:val="auto"/>
          <w:sz w:val="21"/>
          <w:szCs w:val="21"/>
          <w:highlight w:val="none"/>
        </w:rPr>
        <w:t>抗力</w:t>
      </w:r>
      <w:r>
        <w:rPr>
          <w:rFonts w:ascii="宋体" w:hAnsi="宋体"/>
          <w:color w:val="auto"/>
          <w:spacing w:val="-3"/>
          <w:sz w:val="21"/>
          <w:szCs w:val="21"/>
          <w:highlight w:val="none"/>
        </w:rPr>
        <w:t>以</w:t>
      </w:r>
      <w:r>
        <w:rPr>
          <w:rFonts w:ascii="宋体" w:hAnsi="宋体"/>
          <w:color w:val="auto"/>
          <w:sz w:val="21"/>
          <w:szCs w:val="21"/>
          <w:highlight w:val="none"/>
        </w:rPr>
        <w:t>外</w:t>
      </w:r>
      <w:r>
        <w:rPr>
          <w:rFonts w:ascii="宋体" w:hAnsi="宋体"/>
          <w:color w:val="auto"/>
          <w:spacing w:val="-3"/>
          <w:sz w:val="21"/>
          <w:szCs w:val="21"/>
          <w:highlight w:val="none"/>
        </w:rPr>
        <w:t>的</w:t>
      </w:r>
      <w:r>
        <w:rPr>
          <w:rFonts w:ascii="宋体" w:hAnsi="宋体"/>
          <w:color w:val="auto"/>
          <w:sz w:val="21"/>
          <w:szCs w:val="21"/>
          <w:highlight w:val="none"/>
        </w:rPr>
        <w:t>其</w:t>
      </w:r>
      <w:r>
        <w:rPr>
          <w:rFonts w:ascii="宋体" w:hAnsi="宋体"/>
          <w:color w:val="auto"/>
          <w:spacing w:val="-3"/>
          <w:sz w:val="21"/>
          <w:szCs w:val="21"/>
          <w:highlight w:val="none"/>
        </w:rPr>
        <w:t>他</w:t>
      </w:r>
      <w:r>
        <w:rPr>
          <w:rFonts w:ascii="宋体" w:hAnsi="宋体"/>
          <w:color w:val="auto"/>
          <w:sz w:val="21"/>
          <w:szCs w:val="21"/>
          <w:highlight w:val="none"/>
        </w:rPr>
        <w:t>情</w:t>
      </w:r>
      <w:r>
        <w:rPr>
          <w:rFonts w:ascii="宋体" w:hAnsi="宋体"/>
          <w:color w:val="auto"/>
          <w:spacing w:val="-3"/>
          <w:sz w:val="21"/>
          <w:szCs w:val="21"/>
          <w:highlight w:val="none"/>
        </w:rPr>
        <w:t>形</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7" w:line="100" w:lineRule="exact"/>
        <w:ind w:firstLine="0" w:firstLineChars="0"/>
        <w:textAlignment w:val="auto"/>
        <w:rPr>
          <w:rFonts w:ascii="Calibri" w:hAnsi="Calibri"/>
          <w:color w:val="auto"/>
          <w:sz w:val="10"/>
          <w:szCs w:val="10"/>
          <w:highlight w:val="none"/>
        </w:rPr>
      </w:pPr>
    </w:p>
    <w:p>
      <w:pPr>
        <w:adjustRightInd/>
        <w:spacing w:line="200" w:lineRule="exact"/>
        <w:ind w:firstLine="0" w:firstLineChars="0"/>
        <w:textAlignment w:val="auto"/>
        <w:rPr>
          <w:rFonts w:ascii="Calibri" w:hAnsi="Calibri"/>
          <w:color w:val="auto"/>
          <w:sz w:val="20"/>
          <w:highlight w:val="none"/>
        </w:rPr>
      </w:pPr>
    </w:p>
    <w:p>
      <w:pPr>
        <w:adjustRightInd/>
        <w:spacing w:before="1" w:line="240" w:lineRule="auto"/>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rPr>
        <w:t>不可</w:t>
      </w:r>
      <w:r>
        <w:rPr>
          <w:rFonts w:ascii="宋体" w:hAnsi="宋体"/>
          <w:color w:val="auto"/>
          <w:spacing w:val="-3"/>
          <w:sz w:val="21"/>
          <w:szCs w:val="21"/>
          <w:highlight w:val="none"/>
        </w:rPr>
        <w:t>抗</w:t>
      </w:r>
      <w:r>
        <w:rPr>
          <w:rFonts w:ascii="宋体" w:hAnsi="宋体"/>
          <w:color w:val="auto"/>
          <w:sz w:val="21"/>
          <w:szCs w:val="21"/>
          <w:highlight w:val="none"/>
        </w:rPr>
        <w:t>力</w:t>
      </w:r>
      <w:r>
        <w:rPr>
          <w:rFonts w:ascii="宋体" w:hAnsi="宋体"/>
          <w:color w:val="auto"/>
          <w:spacing w:val="-3"/>
          <w:sz w:val="21"/>
          <w:szCs w:val="21"/>
          <w:highlight w:val="none"/>
        </w:rPr>
        <w:t>的</w:t>
      </w:r>
      <w:r>
        <w:rPr>
          <w:rFonts w:ascii="宋体" w:hAnsi="宋体"/>
          <w:color w:val="auto"/>
          <w:sz w:val="21"/>
          <w:szCs w:val="21"/>
          <w:highlight w:val="none"/>
        </w:rPr>
        <w:t>等</w:t>
      </w:r>
      <w:r>
        <w:rPr>
          <w:rFonts w:ascii="宋体" w:hAnsi="宋体"/>
          <w:color w:val="auto"/>
          <w:spacing w:val="-3"/>
          <w:sz w:val="21"/>
          <w:szCs w:val="21"/>
          <w:highlight w:val="none"/>
        </w:rPr>
        <w:t>级</w:t>
      </w:r>
      <w:r>
        <w:rPr>
          <w:rFonts w:ascii="宋体" w:hAnsi="宋体"/>
          <w:color w:val="auto"/>
          <w:sz w:val="21"/>
          <w:szCs w:val="21"/>
          <w:highlight w:val="none"/>
        </w:rPr>
        <w:t>范</w:t>
      </w:r>
      <w:r>
        <w:rPr>
          <w:rFonts w:ascii="宋体" w:hAnsi="宋体"/>
          <w:color w:val="auto"/>
          <w:spacing w:val="-3"/>
          <w:sz w:val="21"/>
          <w:szCs w:val="21"/>
          <w:highlight w:val="none"/>
        </w:rPr>
        <w:t>围</w:t>
      </w:r>
      <w:r>
        <w:rPr>
          <w:rFonts w:ascii="宋体" w:hAnsi="宋体"/>
          <w:color w:val="auto"/>
          <w:sz w:val="21"/>
          <w:szCs w:val="21"/>
          <w:highlight w:val="none"/>
        </w:rPr>
        <w:t>约</w:t>
      </w:r>
      <w:r>
        <w:rPr>
          <w:rFonts w:ascii="宋体" w:hAnsi="宋体"/>
          <w:color w:val="auto"/>
          <w:spacing w:val="-3"/>
          <w:sz w:val="21"/>
          <w:szCs w:val="21"/>
          <w:highlight w:val="none"/>
        </w:rPr>
        <w:t>定</w:t>
      </w:r>
      <w:r>
        <w:rPr>
          <w:rFonts w:ascii="宋体" w:hAnsi="宋体"/>
          <w:color w:val="auto"/>
          <w:sz w:val="21"/>
          <w:szCs w:val="21"/>
          <w:highlight w:val="none"/>
        </w:rPr>
        <w:t>：</w:t>
      </w:r>
      <w:r>
        <w:rPr>
          <w:rFonts w:ascii="宋体" w:hAnsi="宋体" w:cs="宋体"/>
          <w:color w:val="auto"/>
          <w:sz w:val="21"/>
          <w:szCs w:val="21"/>
          <w:highlight w:val="none"/>
          <w:u w:val="single"/>
        </w:rPr>
        <w:t>6</w:t>
      </w:r>
      <w:r>
        <w:rPr>
          <w:rFonts w:hint="eastAsia" w:ascii="宋体" w:hAnsi="宋体" w:cs="宋体"/>
          <w:color w:val="auto"/>
          <w:sz w:val="21"/>
          <w:szCs w:val="21"/>
          <w:highlight w:val="none"/>
          <w:u w:val="single"/>
        </w:rPr>
        <w:t>级以上地震、</w:t>
      </w:r>
      <w:r>
        <w:rPr>
          <w:rFonts w:ascii="宋体" w:hAnsi="宋体" w:cs="宋体"/>
          <w:color w:val="auto"/>
          <w:sz w:val="21"/>
          <w:szCs w:val="21"/>
          <w:highlight w:val="none"/>
          <w:u w:val="single"/>
        </w:rPr>
        <w:t>1</w:t>
      </w:r>
      <w:r>
        <w:rPr>
          <w:rFonts w:hint="eastAsia" w:ascii="宋体" w:hAnsi="宋体" w:cs="宋体"/>
          <w:color w:val="auto"/>
          <w:sz w:val="21"/>
          <w:szCs w:val="21"/>
          <w:highlight w:val="none"/>
          <w:u w:val="single"/>
        </w:rPr>
        <w:t>2级以上台风等</w:t>
      </w:r>
    </w:p>
    <w:p>
      <w:pPr>
        <w:adjustRightInd/>
        <w:spacing w:line="200" w:lineRule="exact"/>
        <w:ind w:firstLine="0" w:firstLineChars="0"/>
        <w:textAlignment w:val="auto"/>
        <w:rPr>
          <w:rFonts w:ascii="Calibri" w:hAnsi="Calibri"/>
          <w:color w:val="auto"/>
          <w:sz w:val="20"/>
          <w:highlight w:val="none"/>
        </w:rPr>
      </w:pPr>
    </w:p>
    <w:p>
      <w:pPr>
        <w:adjustRightInd/>
        <w:spacing w:line="381" w:lineRule="exact"/>
        <w:ind w:left="158" w:firstLine="0" w:firstLineChars="0"/>
        <w:textAlignment w:val="auto"/>
        <w:rPr>
          <w:rFonts w:ascii="宋体" w:hAnsi="宋体" w:cs="宋体"/>
          <w:color w:val="auto"/>
          <w:sz w:val="28"/>
          <w:szCs w:val="28"/>
          <w:highlight w:val="none"/>
        </w:rPr>
      </w:pPr>
      <w:bookmarkStart w:id="834" w:name="_bookmark171"/>
      <w:bookmarkEnd w:id="834"/>
      <w:r>
        <w:rPr>
          <w:rFonts w:ascii="宋体" w:hAnsi="宋体" w:cs="宋体"/>
          <w:color w:val="auto"/>
          <w:sz w:val="28"/>
          <w:szCs w:val="28"/>
          <w:highlight w:val="none"/>
        </w:rPr>
        <w:t>2</w:t>
      </w:r>
      <w:r>
        <w:rPr>
          <w:rFonts w:ascii="宋体" w:hAnsi="宋体" w:cs="宋体"/>
          <w:color w:val="auto"/>
          <w:spacing w:val="-2"/>
          <w:sz w:val="28"/>
          <w:szCs w:val="28"/>
          <w:highlight w:val="none"/>
        </w:rPr>
        <w:t>4</w:t>
      </w:r>
      <w:r>
        <w:rPr>
          <w:rFonts w:ascii="宋体" w:hAnsi="宋体" w:cs="宋体"/>
          <w:color w:val="auto"/>
          <w:spacing w:val="1"/>
          <w:sz w:val="28"/>
          <w:szCs w:val="28"/>
          <w:highlight w:val="none"/>
        </w:rPr>
        <w:t>.</w:t>
      </w:r>
      <w:r>
        <w:rPr>
          <w:rFonts w:ascii="宋体" w:hAnsi="宋体" w:cs="宋体"/>
          <w:color w:val="auto"/>
          <w:spacing w:val="-3"/>
          <w:sz w:val="28"/>
          <w:szCs w:val="28"/>
          <w:highlight w:val="none"/>
        </w:rPr>
        <w:t>争</w:t>
      </w:r>
      <w:r>
        <w:rPr>
          <w:rFonts w:ascii="宋体" w:hAnsi="宋体" w:cs="宋体"/>
          <w:color w:val="auto"/>
          <w:sz w:val="28"/>
          <w:szCs w:val="28"/>
          <w:highlight w:val="none"/>
        </w:rPr>
        <w:t>议的</w:t>
      </w:r>
      <w:r>
        <w:rPr>
          <w:rFonts w:ascii="宋体" w:hAnsi="宋体" w:cs="宋体"/>
          <w:color w:val="auto"/>
          <w:spacing w:val="-3"/>
          <w:sz w:val="28"/>
          <w:szCs w:val="28"/>
          <w:highlight w:val="none"/>
        </w:rPr>
        <w:t>解</w:t>
      </w:r>
      <w:r>
        <w:rPr>
          <w:rFonts w:ascii="宋体" w:hAnsi="宋体" w:cs="宋体"/>
          <w:color w:val="auto"/>
          <w:sz w:val="28"/>
          <w:szCs w:val="28"/>
          <w:highlight w:val="none"/>
        </w:rPr>
        <w:t>决</w:t>
      </w:r>
    </w:p>
    <w:p>
      <w:pPr>
        <w:adjustRightInd/>
        <w:spacing w:before="7" w:line="260" w:lineRule="exact"/>
        <w:ind w:firstLine="0" w:firstLineChars="0"/>
        <w:textAlignment w:val="auto"/>
        <w:rPr>
          <w:rFonts w:ascii="Calibri" w:hAnsi="Calibri"/>
          <w:color w:val="auto"/>
          <w:sz w:val="26"/>
          <w:szCs w:val="26"/>
          <w:highlight w:val="none"/>
        </w:rPr>
      </w:pPr>
    </w:p>
    <w:p>
      <w:pPr>
        <w:tabs>
          <w:tab w:val="left" w:pos="877"/>
        </w:tabs>
        <w:adjustRightInd/>
        <w:spacing w:line="240" w:lineRule="auto"/>
        <w:ind w:left="158" w:firstLine="0" w:firstLineChars="0"/>
        <w:textAlignment w:val="auto"/>
        <w:rPr>
          <w:rFonts w:ascii="宋体" w:hAnsi="宋体" w:cs="宋体"/>
          <w:color w:val="auto"/>
          <w:szCs w:val="24"/>
          <w:highlight w:val="none"/>
        </w:rPr>
      </w:pPr>
      <w:bookmarkStart w:id="835" w:name="_bookmark172"/>
      <w:bookmarkEnd w:id="835"/>
      <w:r>
        <w:rPr>
          <w:rFonts w:ascii="宋体" w:hAnsi="宋体" w:cs="宋体"/>
          <w:color w:val="auto"/>
          <w:szCs w:val="24"/>
          <w:highlight w:val="none"/>
        </w:rPr>
        <w:t>24.1</w:t>
      </w:r>
      <w:r>
        <w:rPr>
          <w:rFonts w:ascii="宋体" w:hAnsi="宋体" w:cs="宋体"/>
          <w:color w:val="auto"/>
          <w:szCs w:val="24"/>
          <w:highlight w:val="none"/>
        </w:rPr>
        <w:tab/>
      </w:r>
      <w:r>
        <w:rPr>
          <w:rFonts w:ascii="宋体" w:hAnsi="宋体" w:cs="宋体"/>
          <w:color w:val="auto"/>
          <w:szCs w:val="24"/>
          <w:highlight w:val="none"/>
        </w:rPr>
        <w:t>争议的解决方式</w:t>
      </w:r>
    </w:p>
    <w:p>
      <w:pPr>
        <w:adjustRightInd/>
        <w:spacing w:before="6"/>
        <w:ind w:firstLine="0" w:firstLineChars="0"/>
        <w:textAlignment w:val="auto"/>
        <w:rPr>
          <w:rFonts w:ascii="Calibri" w:hAnsi="Calibri"/>
          <w:color w:val="auto"/>
          <w:szCs w:val="24"/>
          <w:highlight w:val="none"/>
        </w:rPr>
      </w:pPr>
    </w:p>
    <w:p>
      <w:pPr>
        <w:tabs>
          <w:tab w:val="left" w:pos="5410"/>
        </w:tabs>
        <w:adjustRightInd/>
        <w:ind w:left="158" w:right="151" w:firstLine="419" w:firstLineChars="0"/>
        <w:textAlignment w:val="auto"/>
        <w:rPr>
          <w:rFonts w:ascii="宋体" w:hAnsi="宋体"/>
          <w:color w:val="auto"/>
          <w:sz w:val="21"/>
          <w:szCs w:val="21"/>
          <w:highlight w:val="none"/>
        </w:rPr>
      </w:pPr>
      <w:r>
        <w:rPr>
          <w:rFonts w:ascii="宋体" w:hAnsi="宋体"/>
          <w:color w:val="auto"/>
          <w:sz w:val="21"/>
          <w:szCs w:val="21"/>
          <w:highlight w:val="none"/>
        </w:rPr>
        <w:t>因本</w:t>
      </w:r>
      <w:r>
        <w:rPr>
          <w:rFonts w:ascii="宋体" w:hAnsi="宋体"/>
          <w:color w:val="auto"/>
          <w:spacing w:val="-3"/>
          <w:sz w:val="21"/>
          <w:szCs w:val="21"/>
          <w:highlight w:val="none"/>
        </w:rPr>
        <w:t>合</w:t>
      </w:r>
      <w:r>
        <w:rPr>
          <w:rFonts w:ascii="宋体" w:hAnsi="宋体"/>
          <w:color w:val="auto"/>
          <w:sz w:val="21"/>
          <w:szCs w:val="21"/>
          <w:highlight w:val="none"/>
        </w:rPr>
        <w:t>同</w:t>
      </w:r>
      <w:r>
        <w:rPr>
          <w:rFonts w:ascii="宋体" w:hAnsi="宋体"/>
          <w:color w:val="auto"/>
          <w:spacing w:val="-3"/>
          <w:sz w:val="21"/>
          <w:szCs w:val="21"/>
          <w:highlight w:val="none"/>
        </w:rPr>
        <w:t>引</w:t>
      </w:r>
      <w:r>
        <w:rPr>
          <w:rFonts w:ascii="宋体" w:hAnsi="宋体"/>
          <w:color w:val="auto"/>
          <w:sz w:val="21"/>
          <w:szCs w:val="21"/>
          <w:highlight w:val="none"/>
        </w:rPr>
        <w:t>起</w:t>
      </w:r>
      <w:r>
        <w:rPr>
          <w:rFonts w:ascii="宋体" w:hAnsi="宋体"/>
          <w:color w:val="auto"/>
          <w:spacing w:val="-3"/>
          <w:sz w:val="21"/>
          <w:szCs w:val="21"/>
          <w:highlight w:val="none"/>
        </w:rPr>
        <w:t>的</w:t>
      </w:r>
      <w:r>
        <w:rPr>
          <w:rFonts w:ascii="宋体" w:hAnsi="宋体"/>
          <w:color w:val="auto"/>
          <w:sz w:val="21"/>
          <w:szCs w:val="21"/>
          <w:highlight w:val="none"/>
        </w:rPr>
        <w:t>或</w:t>
      </w:r>
      <w:r>
        <w:rPr>
          <w:rFonts w:ascii="宋体" w:hAnsi="宋体"/>
          <w:color w:val="auto"/>
          <w:spacing w:val="-3"/>
          <w:sz w:val="21"/>
          <w:szCs w:val="21"/>
          <w:highlight w:val="none"/>
        </w:rPr>
        <w:t>与</w:t>
      </w:r>
      <w:r>
        <w:rPr>
          <w:rFonts w:ascii="宋体" w:hAnsi="宋体"/>
          <w:color w:val="auto"/>
          <w:sz w:val="21"/>
          <w:szCs w:val="21"/>
          <w:highlight w:val="none"/>
        </w:rPr>
        <w:t>本</w:t>
      </w:r>
      <w:r>
        <w:rPr>
          <w:rFonts w:ascii="宋体" w:hAnsi="宋体"/>
          <w:color w:val="auto"/>
          <w:spacing w:val="-3"/>
          <w:sz w:val="21"/>
          <w:szCs w:val="21"/>
          <w:highlight w:val="none"/>
        </w:rPr>
        <w:t>合</w:t>
      </w:r>
      <w:r>
        <w:rPr>
          <w:rFonts w:ascii="宋体" w:hAnsi="宋体"/>
          <w:color w:val="auto"/>
          <w:sz w:val="21"/>
          <w:szCs w:val="21"/>
          <w:highlight w:val="none"/>
        </w:rPr>
        <w:t>同有</w:t>
      </w:r>
      <w:r>
        <w:rPr>
          <w:rFonts w:ascii="宋体" w:hAnsi="宋体"/>
          <w:color w:val="auto"/>
          <w:spacing w:val="-3"/>
          <w:sz w:val="21"/>
          <w:szCs w:val="21"/>
          <w:highlight w:val="none"/>
        </w:rPr>
        <w:t>关</w:t>
      </w:r>
      <w:r>
        <w:rPr>
          <w:rFonts w:ascii="宋体" w:hAnsi="宋体"/>
          <w:color w:val="auto"/>
          <w:sz w:val="21"/>
          <w:szCs w:val="21"/>
          <w:highlight w:val="none"/>
        </w:rPr>
        <w:t>的</w:t>
      </w:r>
      <w:r>
        <w:rPr>
          <w:rFonts w:ascii="宋体" w:hAnsi="宋体"/>
          <w:color w:val="auto"/>
          <w:spacing w:val="-3"/>
          <w:sz w:val="21"/>
          <w:szCs w:val="21"/>
          <w:highlight w:val="none"/>
        </w:rPr>
        <w:t>任</w:t>
      </w:r>
      <w:r>
        <w:rPr>
          <w:rFonts w:ascii="宋体" w:hAnsi="宋体"/>
          <w:color w:val="auto"/>
          <w:sz w:val="21"/>
          <w:szCs w:val="21"/>
          <w:highlight w:val="none"/>
        </w:rPr>
        <w:t>何</w:t>
      </w:r>
      <w:r>
        <w:rPr>
          <w:rFonts w:ascii="宋体" w:hAnsi="宋体"/>
          <w:color w:val="auto"/>
          <w:spacing w:val="-3"/>
          <w:sz w:val="21"/>
          <w:szCs w:val="21"/>
          <w:highlight w:val="none"/>
        </w:rPr>
        <w:t>争议</w:t>
      </w:r>
      <w:r>
        <w:rPr>
          <w:rFonts w:ascii="宋体" w:hAnsi="宋体"/>
          <w:color w:val="auto"/>
          <w:spacing w:val="-44"/>
          <w:sz w:val="21"/>
          <w:szCs w:val="21"/>
          <w:highlight w:val="none"/>
        </w:rPr>
        <w:t>，</w:t>
      </w:r>
      <w:r>
        <w:rPr>
          <w:rFonts w:ascii="宋体" w:hAnsi="宋体"/>
          <w:color w:val="auto"/>
          <w:spacing w:val="-3"/>
          <w:sz w:val="21"/>
          <w:szCs w:val="21"/>
          <w:highlight w:val="none"/>
        </w:rPr>
        <w:t>合同</w:t>
      </w:r>
      <w:r>
        <w:rPr>
          <w:rFonts w:ascii="宋体" w:hAnsi="宋体"/>
          <w:color w:val="auto"/>
          <w:sz w:val="21"/>
          <w:szCs w:val="21"/>
          <w:highlight w:val="none"/>
        </w:rPr>
        <w:t>双方</w:t>
      </w:r>
      <w:r>
        <w:rPr>
          <w:rFonts w:ascii="宋体" w:hAnsi="宋体"/>
          <w:color w:val="auto"/>
          <w:spacing w:val="-3"/>
          <w:sz w:val="21"/>
          <w:szCs w:val="21"/>
          <w:highlight w:val="none"/>
        </w:rPr>
        <w:t>友</w:t>
      </w:r>
      <w:r>
        <w:rPr>
          <w:rFonts w:ascii="宋体" w:hAnsi="宋体"/>
          <w:color w:val="auto"/>
          <w:sz w:val="21"/>
          <w:szCs w:val="21"/>
          <w:highlight w:val="none"/>
        </w:rPr>
        <w:t>好</w:t>
      </w:r>
      <w:r>
        <w:rPr>
          <w:rFonts w:ascii="宋体" w:hAnsi="宋体"/>
          <w:color w:val="auto"/>
          <w:spacing w:val="-3"/>
          <w:sz w:val="21"/>
          <w:szCs w:val="21"/>
          <w:highlight w:val="none"/>
        </w:rPr>
        <w:t>协</w:t>
      </w:r>
      <w:r>
        <w:rPr>
          <w:rFonts w:ascii="宋体" w:hAnsi="宋体"/>
          <w:color w:val="auto"/>
          <w:sz w:val="21"/>
          <w:szCs w:val="21"/>
          <w:highlight w:val="none"/>
        </w:rPr>
        <w:t>商</w:t>
      </w:r>
      <w:r>
        <w:rPr>
          <w:rFonts w:ascii="宋体" w:hAnsi="宋体"/>
          <w:color w:val="auto"/>
          <w:spacing w:val="-3"/>
          <w:sz w:val="21"/>
          <w:szCs w:val="21"/>
          <w:highlight w:val="none"/>
        </w:rPr>
        <w:t>不成</w:t>
      </w:r>
      <w:r>
        <w:rPr>
          <w:rFonts w:ascii="宋体" w:hAnsi="宋体"/>
          <w:color w:val="auto"/>
          <w:spacing w:val="-44"/>
          <w:sz w:val="21"/>
          <w:szCs w:val="21"/>
          <w:highlight w:val="none"/>
        </w:rPr>
        <w:t>、</w:t>
      </w:r>
      <w:r>
        <w:rPr>
          <w:rFonts w:ascii="宋体" w:hAnsi="宋体"/>
          <w:color w:val="auto"/>
          <w:spacing w:val="-3"/>
          <w:sz w:val="21"/>
          <w:szCs w:val="21"/>
          <w:highlight w:val="none"/>
        </w:rPr>
        <w:t>不愿</w:t>
      </w:r>
      <w:r>
        <w:rPr>
          <w:rFonts w:ascii="宋体" w:hAnsi="宋体"/>
          <w:color w:val="auto"/>
          <w:sz w:val="21"/>
          <w:szCs w:val="21"/>
          <w:highlight w:val="none"/>
        </w:rPr>
        <w:t>提请</w:t>
      </w:r>
      <w:r>
        <w:rPr>
          <w:rFonts w:ascii="宋体" w:hAnsi="宋体"/>
          <w:color w:val="auto"/>
          <w:spacing w:val="-3"/>
          <w:sz w:val="21"/>
          <w:szCs w:val="21"/>
          <w:highlight w:val="none"/>
        </w:rPr>
        <w:t>争</w:t>
      </w:r>
      <w:r>
        <w:rPr>
          <w:rFonts w:ascii="宋体" w:hAnsi="宋体"/>
          <w:color w:val="auto"/>
          <w:sz w:val="21"/>
          <w:szCs w:val="21"/>
          <w:highlight w:val="none"/>
        </w:rPr>
        <w:t>议组 评审</w:t>
      </w:r>
      <w:r>
        <w:rPr>
          <w:rFonts w:ascii="宋体" w:hAnsi="宋体"/>
          <w:color w:val="auto"/>
          <w:spacing w:val="-3"/>
          <w:sz w:val="21"/>
          <w:szCs w:val="21"/>
          <w:highlight w:val="none"/>
        </w:rPr>
        <w:t>或</w:t>
      </w:r>
      <w:r>
        <w:rPr>
          <w:rFonts w:ascii="宋体" w:hAnsi="宋体"/>
          <w:color w:val="auto"/>
          <w:sz w:val="21"/>
          <w:szCs w:val="21"/>
          <w:highlight w:val="none"/>
        </w:rPr>
        <w:t>者</w:t>
      </w:r>
      <w:r>
        <w:rPr>
          <w:rFonts w:ascii="宋体" w:hAnsi="宋体"/>
          <w:color w:val="auto"/>
          <w:spacing w:val="-3"/>
          <w:sz w:val="21"/>
          <w:szCs w:val="21"/>
          <w:highlight w:val="none"/>
        </w:rPr>
        <w:t>不</w:t>
      </w:r>
      <w:r>
        <w:rPr>
          <w:rFonts w:ascii="宋体" w:hAnsi="宋体"/>
          <w:color w:val="auto"/>
          <w:sz w:val="21"/>
          <w:szCs w:val="21"/>
          <w:highlight w:val="none"/>
        </w:rPr>
        <w:t>愿</w:t>
      </w:r>
      <w:r>
        <w:rPr>
          <w:rFonts w:ascii="宋体" w:hAnsi="宋体"/>
          <w:color w:val="auto"/>
          <w:spacing w:val="-3"/>
          <w:sz w:val="21"/>
          <w:szCs w:val="21"/>
          <w:highlight w:val="none"/>
        </w:rPr>
        <w:t>接</w:t>
      </w:r>
      <w:r>
        <w:rPr>
          <w:rFonts w:ascii="宋体" w:hAnsi="宋体"/>
          <w:color w:val="auto"/>
          <w:sz w:val="21"/>
          <w:szCs w:val="21"/>
          <w:highlight w:val="none"/>
        </w:rPr>
        <w:t>受</w:t>
      </w:r>
      <w:r>
        <w:rPr>
          <w:rFonts w:ascii="宋体" w:hAnsi="宋体"/>
          <w:color w:val="auto"/>
          <w:spacing w:val="-3"/>
          <w:sz w:val="21"/>
          <w:szCs w:val="21"/>
          <w:highlight w:val="none"/>
        </w:rPr>
        <w:t>争</w:t>
      </w:r>
      <w:r>
        <w:rPr>
          <w:rFonts w:ascii="宋体" w:hAnsi="宋体"/>
          <w:color w:val="auto"/>
          <w:sz w:val="21"/>
          <w:szCs w:val="21"/>
          <w:highlight w:val="none"/>
        </w:rPr>
        <w:t>议</w:t>
      </w:r>
      <w:r>
        <w:rPr>
          <w:rFonts w:ascii="宋体" w:hAnsi="宋体"/>
          <w:color w:val="auto"/>
          <w:spacing w:val="-3"/>
          <w:sz w:val="21"/>
          <w:szCs w:val="21"/>
          <w:highlight w:val="none"/>
        </w:rPr>
        <w:t>评</w:t>
      </w:r>
      <w:r>
        <w:rPr>
          <w:rFonts w:ascii="宋体" w:hAnsi="宋体"/>
          <w:color w:val="auto"/>
          <w:sz w:val="21"/>
          <w:szCs w:val="21"/>
          <w:highlight w:val="none"/>
        </w:rPr>
        <w:t>审组</w:t>
      </w:r>
      <w:r>
        <w:rPr>
          <w:rFonts w:ascii="宋体" w:hAnsi="宋体"/>
          <w:color w:val="auto"/>
          <w:spacing w:val="-3"/>
          <w:sz w:val="21"/>
          <w:szCs w:val="21"/>
          <w:highlight w:val="none"/>
        </w:rPr>
        <w:t>意</w:t>
      </w:r>
      <w:r>
        <w:rPr>
          <w:rFonts w:ascii="宋体" w:hAnsi="宋体"/>
          <w:color w:val="auto"/>
          <w:sz w:val="21"/>
          <w:szCs w:val="21"/>
          <w:highlight w:val="none"/>
        </w:rPr>
        <w:t>见</w:t>
      </w:r>
      <w:r>
        <w:rPr>
          <w:rFonts w:ascii="宋体" w:hAnsi="宋体"/>
          <w:color w:val="auto"/>
          <w:spacing w:val="-3"/>
          <w:sz w:val="21"/>
          <w:szCs w:val="21"/>
          <w:highlight w:val="none"/>
        </w:rPr>
        <w:t>的</w:t>
      </w:r>
      <w:r>
        <w:rPr>
          <w:rFonts w:ascii="宋体" w:hAnsi="宋体"/>
          <w:color w:val="auto"/>
          <w:sz w:val="21"/>
          <w:szCs w:val="21"/>
          <w:highlight w:val="none"/>
        </w:rPr>
        <w:t>，</w:t>
      </w:r>
      <w:r>
        <w:rPr>
          <w:rFonts w:ascii="宋体" w:hAnsi="宋体"/>
          <w:color w:val="auto"/>
          <w:spacing w:val="-3"/>
          <w:sz w:val="21"/>
          <w:szCs w:val="21"/>
          <w:highlight w:val="none"/>
        </w:rPr>
        <w:t>选</w:t>
      </w:r>
      <w:r>
        <w:rPr>
          <w:rFonts w:ascii="宋体" w:hAnsi="宋体"/>
          <w:color w:val="auto"/>
          <w:sz w:val="21"/>
          <w:szCs w:val="21"/>
          <w:highlight w:val="none"/>
        </w:rPr>
        <w:t>择</w:t>
      </w:r>
      <w:r>
        <w:rPr>
          <w:rFonts w:ascii="宋体" w:hAnsi="宋体"/>
          <w:color w:val="auto"/>
          <w:spacing w:val="-3"/>
          <w:sz w:val="21"/>
          <w:szCs w:val="21"/>
          <w:highlight w:val="none"/>
        </w:rPr>
        <w:t>下</w:t>
      </w:r>
      <w:r>
        <w:rPr>
          <w:rFonts w:ascii="宋体" w:hAnsi="宋体"/>
          <w:color w:val="auto"/>
          <w:sz w:val="21"/>
          <w:szCs w:val="21"/>
          <w:highlight w:val="none"/>
        </w:rPr>
        <w:t>列</w:t>
      </w:r>
      <w:r>
        <w:rPr>
          <w:rFonts w:ascii="宋体" w:hAnsi="宋体"/>
          <w:color w:val="auto"/>
          <w:spacing w:val="-3"/>
          <w:sz w:val="21"/>
          <w:szCs w:val="21"/>
          <w:highlight w:val="none"/>
        </w:rPr>
        <w:t>第</w:t>
      </w:r>
      <w:r>
        <w:rPr>
          <w:rFonts w:hint="eastAsia" w:ascii="宋体" w:hAnsi="宋体"/>
          <w:color w:val="auto"/>
          <w:sz w:val="21"/>
          <w:szCs w:val="21"/>
          <w:highlight w:val="none"/>
          <w:u w:val="single"/>
        </w:rPr>
        <w:t>（壹）</w:t>
      </w:r>
      <w:r>
        <w:rPr>
          <w:rFonts w:ascii="宋体" w:hAnsi="宋体"/>
          <w:color w:val="auto"/>
          <w:sz w:val="21"/>
          <w:szCs w:val="21"/>
          <w:highlight w:val="none"/>
        </w:rPr>
        <w:t>种</w:t>
      </w:r>
      <w:r>
        <w:rPr>
          <w:rFonts w:ascii="宋体" w:hAnsi="宋体"/>
          <w:color w:val="auto"/>
          <w:spacing w:val="-3"/>
          <w:sz w:val="21"/>
          <w:szCs w:val="21"/>
          <w:highlight w:val="none"/>
        </w:rPr>
        <w:t>方</w:t>
      </w:r>
      <w:r>
        <w:rPr>
          <w:rFonts w:ascii="宋体" w:hAnsi="宋体"/>
          <w:color w:val="auto"/>
          <w:sz w:val="21"/>
          <w:szCs w:val="21"/>
          <w:highlight w:val="none"/>
        </w:rPr>
        <w:t>式</w:t>
      </w:r>
      <w:r>
        <w:rPr>
          <w:rFonts w:ascii="宋体" w:hAnsi="宋体"/>
          <w:color w:val="auto"/>
          <w:spacing w:val="-3"/>
          <w:sz w:val="21"/>
          <w:szCs w:val="21"/>
          <w:highlight w:val="none"/>
        </w:rPr>
        <w:t>解</w:t>
      </w:r>
      <w:r>
        <w:rPr>
          <w:rFonts w:ascii="宋体" w:hAnsi="宋体"/>
          <w:color w:val="auto"/>
          <w:sz w:val="21"/>
          <w:szCs w:val="21"/>
          <w:highlight w:val="none"/>
        </w:rPr>
        <w:t>决：</w:t>
      </w:r>
    </w:p>
    <w:p>
      <w:pPr>
        <w:tabs>
          <w:tab w:val="left" w:pos="2649"/>
        </w:tabs>
        <w:adjustRightInd/>
        <w:spacing w:before="31"/>
        <w:ind w:left="158" w:right="153" w:firstLine="419" w:firstLineChars="0"/>
        <w:textAlignment w:val="auto"/>
        <w:rPr>
          <w:rFonts w:ascii="宋体" w:hAnsi="宋体"/>
          <w:color w:val="auto"/>
          <w:sz w:val="21"/>
          <w:szCs w:val="21"/>
          <w:highlight w:val="none"/>
        </w:rPr>
      </w:pPr>
      <w:r>
        <w:rPr>
          <w:rFonts w:ascii="宋体" w:hAnsi="宋体"/>
          <w:color w:val="auto"/>
          <w:sz w:val="21"/>
          <w:szCs w:val="21"/>
          <w:highlight w:val="none"/>
          <w:u w:val="single" w:color="000000"/>
        </w:rPr>
        <w:t>（</w:t>
      </w:r>
      <w:r>
        <w:rPr>
          <w:rFonts w:ascii="宋体" w:hAnsi="宋体"/>
          <w:color w:val="auto"/>
          <w:spacing w:val="-3"/>
          <w:sz w:val="21"/>
          <w:szCs w:val="21"/>
          <w:highlight w:val="none"/>
          <w:u w:val="single" w:color="000000"/>
        </w:rPr>
        <w:t>壹</w:t>
      </w:r>
      <w:r>
        <w:rPr>
          <w:rFonts w:ascii="宋体" w:hAnsi="宋体"/>
          <w:color w:val="auto"/>
          <w:spacing w:val="-29"/>
          <w:sz w:val="21"/>
          <w:szCs w:val="21"/>
          <w:highlight w:val="none"/>
          <w:u w:val="single" w:color="000000"/>
        </w:rPr>
        <w:t>）</w:t>
      </w:r>
      <w:r>
        <w:rPr>
          <w:rFonts w:ascii="宋体" w:hAnsi="宋体"/>
          <w:color w:val="auto"/>
          <w:spacing w:val="-3"/>
          <w:sz w:val="21"/>
          <w:szCs w:val="21"/>
          <w:highlight w:val="none"/>
        </w:rPr>
        <w:t>提</w:t>
      </w:r>
      <w:r>
        <w:rPr>
          <w:rFonts w:ascii="宋体" w:hAnsi="宋体"/>
          <w:color w:val="auto"/>
          <w:sz w:val="21"/>
          <w:szCs w:val="21"/>
          <w:highlight w:val="none"/>
        </w:rPr>
        <w:t>请</w:t>
      </w:r>
      <w:r>
        <w:rPr>
          <w:rFonts w:hint="eastAsia" w:ascii="宋体" w:hAnsi="宋体"/>
          <w:color w:val="auto"/>
          <w:sz w:val="21"/>
          <w:szCs w:val="21"/>
          <w:highlight w:val="none"/>
          <w:u w:val="single"/>
        </w:rPr>
        <w:t xml:space="preserve">北京 </w:t>
      </w:r>
      <w:r>
        <w:rPr>
          <w:rFonts w:ascii="宋体" w:hAnsi="宋体"/>
          <w:color w:val="auto"/>
          <w:spacing w:val="-3"/>
          <w:sz w:val="21"/>
          <w:szCs w:val="21"/>
          <w:highlight w:val="none"/>
        </w:rPr>
        <w:t>仲</w:t>
      </w:r>
      <w:r>
        <w:rPr>
          <w:rFonts w:ascii="宋体" w:hAnsi="宋体"/>
          <w:color w:val="auto"/>
          <w:sz w:val="21"/>
          <w:szCs w:val="21"/>
          <w:highlight w:val="none"/>
        </w:rPr>
        <w:t>裁委</w:t>
      </w:r>
      <w:r>
        <w:rPr>
          <w:rFonts w:ascii="宋体" w:hAnsi="宋体"/>
          <w:color w:val="auto"/>
          <w:spacing w:val="-3"/>
          <w:sz w:val="21"/>
          <w:szCs w:val="21"/>
          <w:highlight w:val="none"/>
        </w:rPr>
        <w:t>员</w:t>
      </w:r>
      <w:r>
        <w:rPr>
          <w:rFonts w:ascii="宋体" w:hAnsi="宋体"/>
          <w:color w:val="auto"/>
          <w:sz w:val="21"/>
          <w:szCs w:val="21"/>
          <w:highlight w:val="none"/>
        </w:rPr>
        <w:t>会</w:t>
      </w:r>
      <w:r>
        <w:rPr>
          <w:rFonts w:ascii="宋体" w:hAnsi="宋体"/>
          <w:color w:val="auto"/>
          <w:spacing w:val="-3"/>
          <w:sz w:val="21"/>
          <w:szCs w:val="21"/>
          <w:highlight w:val="none"/>
        </w:rPr>
        <w:t>按</w:t>
      </w:r>
      <w:r>
        <w:rPr>
          <w:rFonts w:ascii="宋体" w:hAnsi="宋体"/>
          <w:color w:val="auto"/>
          <w:sz w:val="21"/>
          <w:szCs w:val="21"/>
          <w:highlight w:val="none"/>
        </w:rPr>
        <w:t>照</w:t>
      </w:r>
      <w:r>
        <w:rPr>
          <w:rFonts w:ascii="宋体" w:hAnsi="宋体"/>
          <w:color w:val="auto"/>
          <w:spacing w:val="-3"/>
          <w:sz w:val="21"/>
          <w:szCs w:val="21"/>
          <w:highlight w:val="none"/>
        </w:rPr>
        <w:t>该</w:t>
      </w:r>
      <w:r>
        <w:rPr>
          <w:rFonts w:ascii="宋体" w:hAnsi="宋体"/>
          <w:color w:val="auto"/>
          <w:sz w:val="21"/>
          <w:szCs w:val="21"/>
          <w:highlight w:val="none"/>
        </w:rPr>
        <w:t>会</w:t>
      </w:r>
      <w:r>
        <w:rPr>
          <w:rFonts w:ascii="宋体" w:hAnsi="宋体"/>
          <w:color w:val="auto"/>
          <w:spacing w:val="-3"/>
          <w:sz w:val="21"/>
          <w:szCs w:val="21"/>
          <w:highlight w:val="none"/>
        </w:rPr>
        <w:t>仲</w:t>
      </w:r>
      <w:r>
        <w:rPr>
          <w:rFonts w:ascii="宋体" w:hAnsi="宋体"/>
          <w:color w:val="auto"/>
          <w:sz w:val="21"/>
          <w:szCs w:val="21"/>
          <w:highlight w:val="none"/>
        </w:rPr>
        <w:t>裁</w:t>
      </w:r>
      <w:r>
        <w:rPr>
          <w:rFonts w:ascii="宋体" w:hAnsi="宋体"/>
          <w:color w:val="auto"/>
          <w:spacing w:val="-3"/>
          <w:sz w:val="21"/>
          <w:szCs w:val="21"/>
          <w:highlight w:val="none"/>
        </w:rPr>
        <w:t>规</w:t>
      </w:r>
      <w:r>
        <w:rPr>
          <w:rFonts w:ascii="宋体" w:hAnsi="宋体"/>
          <w:color w:val="auto"/>
          <w:sz w:val="21"/>
          <w:szCs w:val="21"/>
          <w:highlight w:val="none"/>
        </w:rPr>
        <w:t>则进</w:t>
      </w:r>
      <w:r>
        <w:rPr>
          <w:rFonts w:ascii="宋体" w:hAnsi="宋体"/>
          <w:color w:val="auto"/>
          <w:spacing w:val="-3"/>
          <w:sz w:val="21"/>
          <w:szCs w:val="21"/>
          <w:highlight w:val="none"/>
        </w:rPr>
        <w:t>行</w:t>
      </w:r>
      <w:r>
        <w:rPr>
          <w:rFonts w:ascii="宋体" w:hAnsi="宋体"/>
          <w:color w:val="auto"/>
          <w:sz w:val="21"/>
          <w:szCs w:val="21"/>
          <w:highlight w:val="none"/>
        </w:rPr>
        <w:t>仲</w:t>
      </w:r>
      <w:r>
        <w:rPr>
          <w:rFonts w:ascii="宋体" w:hAnsi="宋体"/>
          <w:color w:val="auto"/>
          <w:spacing w:val="-3"/>
          <w:sz w:val="21"/>
          <w:szCs w:val="21"/>
          <w:highlight w:val="none"/>
        </w:rPr>
        <w:t>裁</w:t>
      </w:r>
      <w:r>
        <w:rPr>
          <w:rFonts w:ascii="宋体" w:hAnsi="宋体"/>
          <w:color w:val="auto"/>
          <w:spacing w:val="-32"/>
          <w:sz w:val="21"/>
          <w:szCs w:val="21"/>
          <w:highlight w:val="none"/>
        </w:rPr>
        <w:t>，</w:t>
      </w:r>
      <w:r>
        <w:rPr>
          <w:rFonts w:ascii="宋体" w:hAnsi="宋体"/>
          <w:color w:val="auto"/>
          <w:sz w:val="21"/>
          <w:szCs w:val="21"/>
          <w:highlight w:val="none"/>
        </w:rPr>
        <w:t>仲</w:t>
      </w:r>
      <w:r>
        <w:rPr>
          <w:rFonts w:ascii="宋体" w:hAnsi="宋体"/>
          <w:color w:val="auto"/>
          <w:spacing w:val="-3"/>
          <w:sz w:val="21"/>
          <w:szCs w:val="21"/>
          <w:highlight w:val="none"/>
        </w:rPr>
        <w:t>裁</w:t>
      </w:r>
      <w:r>
        <w:rPr>
          <w:rFonts w:ascii="宋体" w:hAnsi="宋体"/>
          <w:color w:val="auto"/>
          <w:sz w:val="21"/>
          <w:szCs w:val="21"/>
          <w:highlight w:val="none"/>
        </w:rPr>
        <w:t>裁</w:t>
      </w:r>
      <w:r>
        <w:rPr>
          <w:rFonts w:ascii="宋体" w:hAnsi="宋体"/>
          <w:color w:val="auto"/>
          <w:spacing w:val="-3"/>
          <w:sz w:val="21"/>
          <w:szCs w:val="21"/>
          <w:highlight w:val="none"/>
        </w:rPr>
        <w:t>决是</w:t>
      </w:r>
      <w:r>
        <w:rPr>
          <w:rFonts w:ascii="宋体" w:hAnsi="宋体"/>
          <w:color w:val="auto"/>
          <w:sz w:val="21"/>
          <w:szCs w:val="21"/>
          <w:highlight w:val="none"/>
        </w:rPr>
        <w:t>终局</w:t>
      </w:r>
      <w:r>
        <w:rPr>
          <w:rFonts w:ascii="宋体" w:hAnsi="宋体"/>
          <w:color w:val="auto"/>
          <w:spacing w:val="-3"/>
          <w:sz w:val="21"/>
          <w:szCs w:val="21"/>
          <w:highlight w:val="none"/>
        </w:rPr>
        <w:t>的</w:t>
      </w:r>
      <w:r>
        <w:rPr>
          <w:rFonts w:ascii="宋体" w:hAnsi="宋体"/>
          <w:color w:val="auto"/>
          <w:spacing w:val="-32"/>
          <w:sz w:val="21"/>
          <w:szCs w:val="21"/>
          <w:highlight w:val="none"/>
        </w:rPr>
        <w:t>，</w:t>
      </w:r>
      <w:r>
        <w:rPr>
          <w:rFonts w:ascii="宋体" w:hAnsi="宋体"/>
          <w:color w:val="auto"/>
          <w:sz w:val="21"/>
          <w:szCs w:val="21"/>
          <w:highlight w:val="none"/>
        </w:rPr>
        <w:t>对 合同</w:t>
      </w:r>
      <w:r>
        <w:rPr>
          <w:rFonts w:ascii="宋体" w:hAnsi="宋体"/>
          <w:color w:val="auto"/>
          <w:spacing w:val="-3"/>
          <w:sz w:val="21"/>
          <w:szCs w:val="21"/>
          <w:highlight w:val="none"/>
        </w:rPr>
        <w:t>双</w:t>
      </w:r>
      <w:r>
        <w:rPr>
          <w:rFonts w:ascii="宋体" w:hAnsi="宋体"/>
          <w:color w:val="auto"/>
          <w:sz w:val="21"/>
          <w:szCs w:val="21"/>
          <w:highlight w:val="none"/>
        </w:rPr>
        <w:t>方</w:t>
      </w:r>
      <w:r>
        <w:rPr>
          <w:rFonts w:ascii="宋体" w:hAnsi="宋体"/>
          <w:color w:val="auto"/>
          <w:spacing w:val="-3"/>
          <w:sz w:val="21"/>
          <w:szCs w:val="21"/>
          <w:highlight w:val="none"/>
        </w:rPr>
        <w:t>均</w:t>
      </w:r>
      <w:r>
        <w:rPr>
          <w:rFonts w:ascii="宋体" w:hAnsi="宋体"/>
          <w:color w:val="auto"/>
          <w:sz w:val="21"/>
          <w:szCs w:val="21"/>
          <w:highlight w:val="none"/>
        </w:rPr>
        <w:t>有</w:t>
      </w:r>
      <w:r>
        <w:rPr>
          <w:rFonts w:ascii="宋体" w:hAnsi="宋体"/>
          <w:color w:val="auto"/>
          <w:spacing w:val="-3"/>
          <w:sz w:val="21"/>
          <w:szCs w:val="21"/>
          <w:highlight w:val="none"/>
        </w:rPr>
        <w:t>约</w:t>
      </w:r>
      <w:r>
        <w:rPr>
          <w:rFonts w:ascii="宋体" w:hAnsi="宋体"/>
          <w:color w:val="auto"/>
          <w:sz w:val="21"/>
          <w:szCs w:val="21"/>
          <w:highlight w:val="none"/>
        </w:rPr>
        <w:t>束</w:t>
      </w:r>
      <w:r>
        <w:rPr>
          <w:rFonts w:ascii="宋体" w:hAnsi="宋体"/>
          <w:color w:val="auto"/>
          <w:spacing w:val="-3"/>
          <w:sz w:val="21"/>
          <w:szCs w:val="21"/>
          <w:highlight w:val="none"/>
        </w:rPr>
        <w:t>力</w:t>
      </w:r>
      <w:r>
        <w:rPr>
          <w:rFonts w:ascii="宋体" w:hAnsi="宋体"/>
          <w:color w:val="auto"/>
          <w:sz w:val="21"/>
          <w:szCs w:val="21"/>
          <w:highlight w:val="none"/>
        </w:rPr>
        <w:t>。</w:t>
      </w:r>
    </w:p>
    <w:p>
      <w:pPr>
        <w:adjustRightInd/>
        <w:spacing w:before="34"/>
        <w:ind w:left="578" w:firstLine="0" w:firstLineChars="0"/>
        <w:textAlignment w:val="auto"/>
        <w:rPr>
          <w:rFonts w:ascii="宋体" w:hAnsi="宋体"/>
          <w:color w:val="auto"/>
          <w:sz w:val="21"/>
          <w:szCs w:val="21"/>
          <w:highlight w:val="none"/>
        </w:rPr>
      </w:pPr>
      <w:r>
        <w:rPr>
          <w:rFonts w:ascii="宋体" w:hAnsi="宋体"/>
          <w:color w:val="auto"/>
          <w:sz w:val="21"/>
          <w:szCs w:val="21"/>
          <w:highlight w:val="none"/>
          <w:u w:val="single" w:color="000000"/>
        </w:rPr>
        <w:t>（贰</w:t>
      </w:r>
      <w:r>
        <w:rPr>
          <w:rFonts w:ascii="宋体" w:hAnsi="宋体"/>
          <w:color w:val="auto"/>
          <w:spacing w:val="-3"/>
          <w:sz w:val="21"/>
          <w:szCs w:val="21"/>
          <w:highlight w:val="none"/>
          <w:u w:val="single" w:color="000000"/>
        </w:rPr>
        <w:t>）</w:t>
      </w:r>
      <w:r>
        <w:rPr>
          <w:rFonts w:ascii="宋体" w:hAnsi="宋体"/>
          <w:color w:val="auto"/>
          <w:sz w:val="21"/>
          <w:szCs w:val="21"/>
          <w:highlight w:val="none"/>
        </w:rPr>
        <w:t>向</w:t>
      </w:r>
      <w:r>
        <w:rPr>
          <w:rFonts w:ascii="宋体" w:hAnsi="宋体"/>
          <w:color w:val="auto"/>
          <w:spacing w:val="-3"/>
          <w:sz w:val="21"/>
          <w:szCs w:val="21"/>
          <w:highlight w:val="none"/>
        </w:rPr>
        <w:t>有</w:t>
      </w:r>
      <w:r>
        <w:rPr>
          <w:rFonts w:ascii="宋体" w:hAnsi="宋体"/>
          <w:color w:val="auto"/>
          <w:sz w:val="21"/>
          <w:szCs w:val="21"/>
          <w:highlight w:val="none"/>
        </w:rPr>
        <w:t>管</w:t>
      </w:r>
      <w:r>
        <w:rPr>
          <w:rFonts w:ascii="宋体" w:hAnsi="宋体"/>
          <w:color w:val="auto"/>
          <w:spacing w:val="-3"/>
          <w:sz w:val="21"/>
          <w:szCs w:val="21"/>
          <w:highlight w:val="none"/>
        </w:rPr>
        <w:t>辖</w:t>
      </w:r>
      <w:r>
        <w:rPr>
          <w:rFonts w:ascii="宋体" w:hAnsi="宋体"/>
          <w:color w:val="auto"/>
          <w:sz w:val="21"/>
          <w:szCs w:val="21"/>
          <w:highlight w:val="none"/>
        </w:rPr>
        <w:t>权</w:t>
      </w:r>
      <w:r>
        <w:rPr>
          <w:rFonts w:ascii="宋体" w:hAnsi="宋体"/>
          <w:color w:val="auto"/>
          <w:spacing w:val="-3"/>
          <w:sz w:val="21"/>
          <w:szCs w:val="21"/>
          <w:highlight w:val="none"/>
        </w:rPr>
        <w:t>的</w:t>
      </w:r>
      <w:r>
        <w:rPr>
          <w:rFonts w:ascii="宋体" w:hAnsi="宋体"/>
          <w:color w:val="auto"/>
          <w:sz w:val="21"/>
          <w:szCs w:val="21"/>
          <w:highlight w:val="none"/>
        </w:rPr>
        <w:t>人</w:t>
      </w:r>
      <w:r>
        <w:rPr>
          <w:rFonts w:ascii="宋体" w:hAnsi="宋体"/>
          <w:color w:val="auto"/>
          <w:spacing w:val="-3"/>
          <w:sz w:val="21"/>
          <w:szCs w:val="21"/>
          <w:highlight w:val="none"/>
        </w:rPr>
        <w:t>民</w:t>
      </w:r>
      <w:r>
        <w:rPr>
          <w:rFonts w:ascii="宋体" w:hAnsi="宋体"/>
          <w:color w:val="auto"/>
          <w:sz w:val="21"/>
          <w:szCs w:val="21"/>
          <w:highlight w:val="none"/>
        </w:rPr>
        <w:t>法院</w:t>
      </w:r>
      <w:r>
        <w:rPr>
          <w:rFonts w:ascii="宋体" w:hAnsi="宋体"/>
          <w:color w:val="auto"/>
          <w:spacing w:val="-3"/>
          <w:sz w:val="21"/>
          <w:szCs w:val="21"/>
          <w:highlight w:val="none"/>
        </w:rPr>
        <w:t>提</w:t>
      </w:r>
      <w:r>
        <w:rPr>
          <w:rFonts w:ascii="宋体" w:hAnsi="宋体"/>
          <w:color w:val="auto"/>
          <w:sz w:val="21"/>
          <w:szCs w:val="21"/>
          <w:highlight w:val="none"/>
        </w:rPr>
        <w:t>起</w:t>
      </w:r>
      <w:r>
        <w:rPr>
          <w:rFonts w:ascii="宋体" w:hAnsi="宋体"/>
          <w:color w:val="auto"/>
          <w:spacing w:val="-3"/>
          <w:sz w:val="21"/>
          <w:szCs w:val="21"/>
          <w:highlight w:val="none"/>
        </w:rPr>
        <w:t>诉</w:t>
      </w:r>
      <w:r>
        <w:rPr>
          <w:rFonts w:ascii="宋体" w:hAnsi="宋体"/>
          <w:color w:val="auto"/>
          <w:sz w:val="21"/>
          <w:szCs w:val="21"/>
          <w:highlight w:val="none"/>
        </w:rPr>
        <w:t>讼。</w:t>
      </w:r>
    </w:p>
    <w:p>
      <w:pPr>
        <w:adjustRightInd/>
        <w:spacing w:before="1"/>
        <w:ind w:firstLine="0" w:firstLineChars="0"/>
        <w:textAlignment w:val="auto"/>
        <w:rPr>
          <w:rFonts w:ascii="Calibri" w:hAnsi="Calibri"/>
          <w:color w:val="auto"/>
          <w:sz w:val="22"/>
          <w:szCs w:val="22"/>
          <w:highlight w:val="none"/>
        </w:rPr>
      </w:pPr>
    </w:p>
    <w:p>
      <w:pPr>
        <w:tabs>
          <w:tab w:val="left" w:pos="877"/>
        </w:tabs>
        <w:adjustRightInd/>
        <w:ind w:left="158" w:firstLine="0" w:firstLineChars="0"/>
        <w:textAlignment w:val="auto"/>
        <w:rPr>
          <w:rFonts w:ascii="宋体" w:hAnsi="宋体" w:cs="宋体"/>
          <w:color w:val="auto"/>
          <w:szCs w:val="24"/>
          <w:highlight w:val="none"/>
        </w:rPr>
      </w:pPr>
      <w:bookmarkStart w:id="836" w:name="_bookmark173"/>
      <w:bookmarkEnd w:id="836"/>
      <w:r>
        <w:rPr>
          <w:rFonts w:ascii="宋体" w:hAnsi="宋体" w:cs="宋体"/>
          <w:color w:val="auto"/>
          <w:szCs w:val="24"/>
          <w:highlight w:val="none"/>
        </w:rPr>
        <w:t>24.3</w:t>
      </w:r>
      <w:r>
        <w:rPr>
          <w:rFonts w:ascii="宋体" w:hAnsi="宋体" w:cs="宋体"/>
          <w:color w:val="auto"/>
          <w:szCs w:val="24"/>
          <w:highlight w:val="none"/>
        </w:rPr>
        <w:tab/>
      </w:r>
      <w:r>
        <w:rPr>
          <w:rFonts w:ascii="宋体" w:hAnsi="宋体" w:cs="宋体"/>
          <w:color w:val="auto"/>
          <w:szCs w:val="24"/>
          <w:highlight w:val="none"/>
        </w:rPr>
        <w:t>争议评审</w:t>
      </w:r>
    </w:p>
    <w:p>
      <w:pPr>
        <w:tabs>
          <w:tab w:val="left" w:pos="1420"/>
          <w:tab w:val="left" w:pos="8247"/>
        </w:tabs>
        <w:adjustRightInd/>
        <w:ind w:left="578" w:firstLine="0" w:firstLineChars="0"/>
        <w:textAlignment w:val="auto"/>
        <w:rPr>
          <w:rFonts w:ascii="宋体" w:hAnsi="宋体"/>
          <w:color w:val="auto"/>
          <w:sz w:val="21"/>
          <w:szCs w:val="21"/>
          <w:highlight w:val="none"/>
        </w:rPr>
      </w:pPr>
      <w:r>
        <w:rPr>
          <w:rFonts w:ascii="宋体" w:hAnsi="宋体" w:cs="宋体"/>
          <w:color w:val="auto"/>
          <w:sz w:val="21"/>
          <w:szCs w:val="21"/>
          <w:highlight w:val="none"/>
        </w:rPr>
        <w:t>24.3.4</w:t>
      </w:r>
      <w:r>
        <w:rPr>
          <w:rFonts w:ascii="宋体" w:hAnsi="宋体"/>
          <w:color w:val="auto"/>
          <w:spacing w:val="-3"/>
          <w:sz w:val="21"/>
          <w:szCs w:val="21"/>
          <w:highlight w:val="none"/>
        </w:rPr>
        <w:t>争</w:t>
      </w:r>
      <w:r>
        <w:rPr>
          <w:rFonts w:ascii="宋体" w:hAnsi="宋体"/>
          <w:color w:val="auto"/>
          <w:sz w:val="21"/>
          <w:szCs w:val="21"/>
          <w:highlight w:val="none"/>
        </w:rPr>
        <w:t>议</w:t>
      </w:r>
      <w:r>
        <w:rPr>
          <w:rFonts w:ascii="宋体" w:hAnsi="宋体"/>
          <w:color w:val="auto"/>
          <w:spacing w:val="-3"/>
          <w:sz w:val="21"/>
          <w:szCs w:val="21"/>
          <w:highlight w:val="none"/>
        </w:rPr>
        <w:t>评</w:t>
      </w:r>
      <w:r>
        <w:rPr>
          <w:rFonts w:ascii="宋体" w:hAnsi="宋体"/>
          <w:color w:val="auto"/>
          <w:sz w:val="21"/>
          <w:szCs w:val="21"/>
          <w:highlight w:val="none"/>
        </w:rPr>
        <w:t>审</w:t>
      </w:r>
      <w:r>
        <w:rPr>
          <w:rFonts w:ascii="宋体" w:hAnsi="宋体"/>
          <w:color w:val="auto"/>
          <w:spacing w:val="-3"/>
          <w:sz w:val="21"/>
          <w:szCs w:val="21"/>
          <w:highlight w:val="none"/>
        </w:rPr>
        <w:t>组</w:t>
      </w:r>
      <w:r>
        <w:rPr>
          <w:rFonts w:ascii="宋体" w:hAnsi="宋体"/>
          <w:color w:val="auto"/>
          <w:sz w:val="21"/>
          <w:szCs w:val="21"/>
          <w:highlight w:val="none"/>
        </w:rPr>
        <w:t>邀</w:t>
      </w:r>
      <w:r>
        <w:rPr>
          <w:rFonts w:ascii="宋体" w:hAnsi="宋体"/>
          <w:color w:val="auto"/>
          <w:spacing w:val="-3"/>
          <w:sz w:val="21"/>
          <w:szCs w:val="21"/>
          <w:highlight w:val="none"/>
        </w:rPr>
        <w:t>请</w:t>
      </w:r>
      <w:r>
        <w:rPr>
          <w:rFonts w:ascii="宋体" w:hAnsi="宋体"/>
          <w:color w:val="auto"/>
          <w:sz w:val="21"/>
          <w:szCs w:val="21"/>
          <w:highlight w:val="none"/>
        </w:rPr>
        <w:t>合同</w:t>
      </w:r>
      <w:r>
        <w:rPr>
          <w:rFonts w:ascii="宋体" w:hAnsi="宋体"/>
          <w:color w:val="auto"/>
          <w:spacing w:val="-3"/>
          <w:sz w:val="21"/>
          <w:szCs w:val="21"/>
          <w:highlight w:val="none"/>
        </w:rPr>
        <w:t>双</w:t>
      </w:r>
      <w:r>
        <w:rPr>
          <w:rFonts w:ascii="宋体" w:hAnsi="宋体"/>
          <w:color w:val="auto"/>
          <w:sz w:val="21"/>
          <w:szCs w:val="21"/>
          <w:highlight w:val="none"/>
        </w:rPr>
        <w:t>方</w:t>
      </w:r>
      <w:r>
        <w:rPr>
          <w:rFonts w:ascii="宋体" w:hAnsi="宋体"/>
          <w:color w:val="auto"/>
          <w:spacing w:val="-3"/>
          <w:sz w:val="21"/>
          <w:szCs w:val="21"/>
          <w:highlight w:val="none"/>
        </w:rPr>
        <w:t>代</w:t>
      </w:r>
      <w:r>
        <w:rPr>
          <w:rFonts w:ascii="宋体" w:hAnsi="宋体"/>
          <w:color w:val="auto"/>
          <w:sz w:val="21"/>
          <w:szCs w:val="21"/>
          <w:highlight w:val="none"/>
        </w:rPr>
        <w:t>表</w:t>
      </w:r>
      <w:r>
        <w:rPr>
          <w:rFonts w:ascii="宋体" w:hAnsi="宋体"/>
          <w:color w:val="auto"/>
          <w:spacing w:val="-3"/>
          <w:sz w:val="21"/>
          <w:szCs w:val="21"/>
          <w:highlight w:val="none"/>
        </w:rPr>
        <w:t>人</w:t>
      </w:r>
      <w:r>
        <w:rPr>
          <w:rFonts w:ascii="宋体" w:hAnsi="宋体"/>
          <w:color w:val="auto"/>
          <w:sz w:val="21"/>
          <w:szCs w:val="21"/>
          <w:highlight w:val="none"/>
        </w:rPr>
        <w:t>和</w:t>
      </w:r>
      <w:r>
        <w:rPr>
          <w:rFonts w:ascii="宋体" w:hAnsi="宋体"/>
          <w:color w:val="auto"/>
          <w:spacing w:val="-3"/>
          <w:sz w:val="21"/>
          <w:szCs w:val="21"/>
          <w:highlight w:val="none"/>
        </w:rPr>
        <w:t>有</w:t>
      </w:r>
      <w:r>
        <w:rPr>
          <w:rFonts w:ascii="宋体" w:hAnsi="宋体"/>
          <w:color w:val="auto"/>
          <w:sz w:val="21"/>
          <w:szCs w:val="21"/>
          <w:highlight w:val="none"/>
        </w:rPr>
        <w:t>关</w:t>
      </w:r>
      <w:r>
        <w:rPr>
          <w:rFonts w:ascii="宋体" w:hAnsi="宋体"/>
          <w:color w:val="auto"/>
          <w:spacing w:val="-3"/>
          <w:sz w:val="21"/>
          <w:szCs w:val="21"/>
          <w:highlight w:val="none"/>
        </w:rPr>
        <w:t>人</w:t>
      </w:r>
      <w:r>
        <w:rPr>
          <w:rFonts w:ascii="宋体" w:hAnsi="宋体"/>
          <w:color w:val="auto"/>
          <w:sz w:val="21"/>
          <w:szCs w:val="21"/>
          <w:highlight w:val="none"/>
        </w:rPr>
        <w:t>员举</w:t>
      </w:r>
      <w:r>
        <w:rPr>
          <w:rFonts w:ascii="宋体" w:hAnsi="宋体"/>
          <w:color w:val="auto"/>
          <w:spacing w:val="-3"/>
          <w:sz w:val="21"/>
          <w:szCs w:val="21"/>
          <w:highlight w:val="none"/>
        </w:rPr>
        <w:t>行</w:t>
      </w:r>
      <w:r>
        <w:rPr>
          <w:rFonts w:ascii="宋体" w:hAnsi="宋体"/>
          <w:color w:val="auto"/>
          <w:sz w:val="21"/>
          <w:szCs w:val="21"/>
          <w:highlight w:val="none"/>
        </w:rPr>
        <w:t>调</w:t>
      </w:r>
      <w:r>
        <w:rPr>
          <w:rFonts w:ascii="宋体" w:hAnsi="宋体"/>
          <w:color w:val="auto"/>
          <w:spacing w:val="-3"/>
          <w:sz w:val="21"/>
          <w:szCs w:val="21"/>
          <w:highlight w:val="none"/>
        </w:rPr>
        <w:t>查</w:t>
      </w:r>
      <w:r>
        <w:rPr>
          <w:rFonts w:ascii="宋体" w:hAnsi="宋体"/>
          <w:color w:val="auto"/>
          <w:sz w:val="21"/>
          <w:szCs w:val="21"/>
          <w:highlight w:val="none"/>
        </w:rPr>
        <w:t>会</w:t>
      </w:r>
      <w:r>
        <w:rPr>
          <w:rFonts w:ascii="宋体" w:hAnsi="宋体"/>
          <w:color w:val="auto"/>
          <w:spacing w:val="-3"/>
          <w:sz w:val="21"/>
          <w:szCs w:val="21"/>
          <w:highlight w:val="none"/>
        </w:rPr>
        <w:t>的</w:t>
      </w:r>
      <w:r>
        <w:rPr>
          <w:rFonts w:ascii="宋体" w:hAnsi="宋体"/>
          <w:color w:val="auto"/>
          <w:sz w:val="21"/>
          <w:szCs w:val="21"/>
          <w:highlight w:val="none"/>
        </w:rPr>
        <w:t>期</w:t>
      </w:r>
      <w:r>
        <w:rPr>
          <w:rFonts w:ascii="宋体" w:hAnsi="宋体"/>
          <w:color w:val="auto"/>
          <w:spacing w:val="-3"/>
          <w:sz w:val="21"/>
          <w:szCs w:val="21"/>
          <w:highlight w:val="none"/>
        </w:rPr>
        <w:t>限</w:t>
      </w:r>
      <w:r>
        <w:rPr>
          <w:rFonts w:ascii="宋体" w:hAnsi="宋体"/>
          <w:color w:val="auto"/>
          <w:sz w:val="21"/>
          <w:szCs w:val="21"/>
          <w:highlight w:val="none"/>
        </w:rPr>
        <w:t>：</w:t>
      </w:r>
      <w:r>
        <w:rPr>
          <w:rFonts w:hint="eastAsia" w:ascii="宋体" w:hAnsi="宋体"/>
          <w:color w:val="auto"/>
          <w:sz w:val="21"/>
          <w:szCs w:val="21"/>
          <w:highlight w:val="none"/>
          <w:u w:val="single" w:color="000000"/>
        </w:rPr>
        <w:t>/</w:t>
      </w:r>
      <w:r>
        <w:rPr>
          <w:rFonts w:ascii="宋体" w:hAnsi="宋体"/>
          <w:color w:val="auto"/>
          <w:sz w:val="21"/>
          <w:szCs w:val="21"/>
          <w:highlight w:val="none"/>
          <w:u w:val="single" w:color="000000"/>
        </w:rPr>
        <w:tab/>
      </w:r>
    </w:p>
    <w:p>
      <w:pPr>
        <w:adjustRightInd/>
        <w:spacing w:before="1"/>
        <w:ind w:firstLine="0" w:firstLineChars="0"/>
        <w:textAlignment w:val="auto"/>
        <w:rPr>
          <w:rFonts w:ascii="Calibri" w:hAnsi="Calibri"/>
          <w:color w:val="auto"/>
          <w:sz w:val="10"/>
          <w:szCs w:val="10"/>
          <w:highlight w:val="none"/>
        </w:rPr>
      </w:pPr>
    </w:p>
    <w:p>
      <w:pPr>
        <w:adjustRightInd/>
        <w:ind w:firstLine="630" w:firstLineChars="300"/>
        <w:jc w:val="both"/>
        <w:textAlignment w:val="auto"/>
        <w:rPr>
          <w:rFonts w:ascii="Calibri" w:hAnsi="Calibri"/>
          <w:color w:val="auto"/>
          <w:kern w:val="2"/>
          <w:sz w:val="21"/>
          <w:szCs w:val="22"/>
          <w:highlight w:val="none"/>
        </w:rPr>
      </w:pPr>
      <w:r>
        <w:rPr>
          <w:rFonts w:ascii="宋体" w:hAnsi="宋体" w:cs="宋体"/>
          <w:color w:val="auto"/>
          <w:sz w:val="21"/>
          <w:szCs w:val="21"/>
          <w:highlight w:val="none"/>
        </w:rPr>
        <w:t>24.3.5</w:t>
      </w:r>
      <w:r>
        <w:rPr>
          <w:rFonts w:ascii="Calibri" w:hAnsi="Calibri"/>
          <w:color w:val="auto"/>
          <w:spacing w:val="-3"/>
          <w:sz w:val="22"/>
          <w:szCs w:val="22"/>
          <w:highlight w:val="none"/>
        </w:rPr>
        <w:t>争</w:t>
      </w:r>
      <w:r>
        <w:rPr>
          <w:rFonts w:ascii="Calibri" w:hAnsi="Calibri"/>
          <w:color w:val="auto"/>
          <w:sz w:val="22"/>
          <w:szCs w:val="22"/>
          <w:highlight w:val="none"/>
        </w:rPr>
        <w:t>议</w:t>
      </w:r>
      <w:r>
        <w:rPr>
          <w:rFonts w:ascii="Calibri" w:hAnsi="Calibri"/>
          <w:color w:val="auto"/>
          <w:spacing w:val="-3"/>
          <w:sz w:val="22"/>
          <w:szCs w:val="22"/>
          <w:highlight w:val="none"/>
        </w:rPr>
        <w:t>评</w:t>
      </w:r>
      <w:r>
        <w:rPr>
          <w:rFonts w:ascii="Calibri" w:hAnsi="Calibri"/>
          <w:color w:val="auto"/>
          <w:sz w:val="22"/>
          <w:szCs w:val="22"/>
          <w:highlight w:val="none"/>
        </w:rPr>
        <w:t>审</w:t>
      </w:r>
      <w:r>
        <w:rPr>
          <w:rFonts w:ascii="Calibri" w:hAnsi="Calibri"/>
          <w:color w:val="auto"/>
          <w:spacing w:val="-3"/>
          <w:sz w:val="22"/>
          <w:szCs w:val="22"/>
          <w:highlight w:val="none"/>
        </w:rPr>
        <w:t>组</w:t>
      </w:r>
      <w:r>
        <w:rPr>
          <w:rFonts w:ascii="Calibri" w:hAnsi="Calibri"/>
          <w:color w:val="auto"/>
          <w:sz w:val="22"/>
          <w:szCs w:val="22"/>
          <w:highlight w:val="none"/>
        </w:rPr>
        <w:t>在</w:t>
      </w:r>
      <w:r>
        <w:rPr>
          <w:rFonts w:ascii="Calibri" w:hAnsi="Calibri"/>
          <w:color w:val="auto"/>
          <w:spacing w:val="-3"/>
          <w:sz w:val="22"/>
          <w:szCs w:val="22"/>
          <w:highlight w:val="none"/>
        </w:rPr>
        <w:t>调</w:t>
      </w:r>
      <w:r>
        <w:rPr>
          <w:rFonts w:ascii="Calibri" w:hAnsi="Calibri"/>
          <w:color w:val="auto"/>
          <w:sz w:val="22"/>
          <w:szCs w:val="22"/>
          <w:highlight w:val="none"/>
        </w:rPr>
        <w:t>查会</w:t>
      </w:r>
      <w:r>
        <w:rPr>
          <w:rFonts w:ascii="Calibri" w:hAnsi="Calibri"/>
          <w:color w:val="auto"/>
          <w:spacing w:val="-3"/>
          <w:sz w:val="22"/>
          <w:szCs w:val="22"/>
          <w:highlight w:val="none"/>
        </w:rPr>
        <w:t>后</w:t>
      </w:r>
      <w:r>
        <w:rPr>
          <w:rFonts w:ascii="Calibri" w:hAnsi="Calibri"/>
          <w:color w:val="auto"/>
          <w:sz w:val="22"/>
          <w:szCs w:val="22"/>
          <w:highlight w:val="none"/>
        </w:rPr>
        <w:t>作</w:t>
      </w:r>
      <w:r>
        <w:rPr>
          <w:rFonts w:ascii="Calibri" w:hAnsi="Calibri"/>
          <w:color w:val="auto"/>
          <w:spacing w:val="-3"/>
          <w:sz w:val="22"/>
          <w:szCs w:val="22"/>
          <w:highlight w:val="none"/>
        </w:rPr>
        <w:t>出</w:t>
      </w:r>
      <w:r>
        <w:rPr>
          <w:rFonts w:ascii="Calibri" w:hAnsi="Calibri"/>
          <w:color w:val="auto"/>
          <w:sz w:val="22"/>
          <w:szCs w:val="22"/>
          <w:highlight w:val="none"/>
        </w:rPr>
        <w:t>争</w:t>
      </w:r>
      <w:r>
        <w:rPr>
          <w:rFonts w:ascii="Calibri" w:hAnsi="Calibri"/>
          <w:color w:val="auto"/>
          <w:spacing w:val="-3"/>
          <w:sz w:val="22"/>
          <w:szCs w:val="22"/>
          <w:highlight w:val="none"/>
        </w:rPr>
        <w:t>议</w:t>
      </w:r>
      <w:r>
        <w:rPr>
          <w:rFonts w:ascii="Calibri" w:hAnsi="Calibri"/>
          <w:color w:val="auto"/>
          <w:sz w:val="22"/>
          <w:szCs w:val="22"/>
          <w:highlight w:val="none"/>
        </w:rPr>
        <w:t>评</w:t>
      </w:r>
      <w:r>
        <w:rPr>
          <w:rFonts w:ascii="Calibri" w:hAnsi="Calibri"/>
          <w:color w:val="auto"/>
          <w:spacing w:val="-3"/>
          <w:sz w:val="22"/>
          <w:szCs w:val="22"/>
          <w:highlight w:val="none"/>
        </w:rPr>
        <w:t>审</w:t>
      </w:r>
      <w:r>
        <w:rPr>
          <w:rFonts w:ascii="Calibri" w:hAnsi="Calibri"/>
          <w:color w:val="auto"/>
          <w:sz w:val="22"/>
          <w:szCs w:val="22"/>
          <w:highlight w:val="none"/>
        </w:rPr>
        <w:t>意</w:t>
      </w:r>
      <w:r>
        <w:rPr>
          <w:rFonts w:ascii="Calibri" w:hAnsi="Calibri"/>
          <w:color w:val="auto"/>
          <w:spacing w:val="-3"/>
          <w:sz w:val="22"/>
          <w:szCs w:val="22"/>
          <w:highlight w:val="none"/>
        </w:rPr>
        <w:t>见</w:t>
      </w:r>
      <w:r>
        <w:rPr>
          <w:rFonts w:ascii="Calibri" w:hAnsi="Calibri"/>
          <w:color w:val="auto"/>
          <w:sz w:val="22"/>
          <w:szCs w:val="22"/>
          <w:highlight w:val="none"/>
        </w:rPr>
        <w:t>的期</w:t>
      </w:r>
      <w:r>
        <w:rPr>
          <w:rFonts w:ascii="Calibri" w:hAnsi="Calibri"/>
          <w:color w:val="auto"/>
          <w:spacing w:val="-3"/>
          <w:sz w:val="22"/>
          <w:szCs w:val="22"/>
          <w:highlight w:val="none"/>
        </w:rPr>
        <w:t>限</w:t>
      </w:r>
      <w:r>
        <w:rPr>
          <w:rFonts w:ascii="Calibri" w:hAnsi="Calibri"/>
          <w:color w:val="auto"/>
          <w:sz w:val="22"/>
          <w:szCs w:val="22"/>
          <w:highlight w:val="none"/>
        </w:rPr>
        <w:t>：</w:t>
      </w:r>
      <w:r>
        <w:rPr>
          <w:rFonts w:hint="eastAsia" w:ascii="Calibri" w:hAnsi="Calibri"/>
          <w:color w:val="auto"/>
          <w:sz w:val="22"/>
          <w:szCs w:val="22"/>
          <w:highlight w:val="none"/>
          <w:u w:val="single" w:color="000000"/>
        </w:rPr>
        <w:t>/</w:t>
      </w:r>
      <w:r>
        <w:rPr>
          <w:rFonts w:ascii="Calibri" w:hAnsi="Calibri"/>
          <w:color w:val="auto"/>
          <w:sz w:val="22"/>
          <w:szCs w:val="22"/>
          <w:highlight w:val="none"/>
          <w:u w:val="single" w:color="000000"/>
        </w:rPr>
        <w:tab/>
      </w:r>
    </w:p>
    <w:p>
      <w:pPr>
        <w:adjustRightInd/>
        <w:ind w:firstLine="0" w:firstLineChars="0"/>
        <w:jc w:val="both"/>
        <w:textAlignment w:val="auto"/>
        <w:rPr>
          <w:color w:val="auto"/>
          <w:kern w:val="2"/>
          <w:sz w:val="21"/>
          <w:szCs w:val="24"/>
          <w:highlight w:val="none"/>
        </w:rPr>
      </w:pPr>
    </w:p>
    <w:p>
      <w:pPr>
        <w:adjustRightInd/>
        <w:spacing w:line="400" w:lineRule="exact"/>
        <w:ind w:firstLine="525" w:firstLineChars="0"/>
        <w:jc w:val="both"/>
        <w:textAlignment w:val="auto"/>
        <w:rPr>
          <w:color w:val="auto"/>
          <w:kern w:val="2"/>
          <w:sz w:val="21"/>
          <w:szCs w:val="24"/>
          <w:highlight w:val="none"/>
        </w:rPr>
        <w:sectPr>
          <w:footerReference r:id="rId12" w:type="default"/>
          <w:pgSz w:w="11906" w:h="16838"/>
          <w:pgMar w:top="1440" w:right="1797" w:bottom="1440" w:left="1797" w:header="851" w:footer="992" w:gutter="0"/>
          <w:cols w:space="425" w:num="1"/>
          <w:docGrid w:linePitch="312" w:charSpace="0"/>
        </w:sectPr>
      </w:pPr>
    </w:p>
    <w:p>
      <w:pPr>
        <w:adjustRightInd/>
        <w:ind w:firstLine="0" w:firstLineChars="0"/>
        <w:jc w:val="both"/>
        <w:textAlignment w:val="auto"/>
        <w:rPr>
          <w:rFonts w:ascii="Arial" w:hAnsi="Arial" w:cs="Arial"/>
          <w:color w:val="auto"/>
          <w:kern w:val="2"/>
          <w:sz w:val="21"/>
          <w:szCs w:val="24"/>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8"/>
          <w:szCs w:val="28"/>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keepNext/>
        <w:keepLines/>
        <w:adjustRightInd/>
        <w:spacing w:afterLines="50" w:line="300" w:lineRule="auto"/>
        <w:ind w:firstLine="0" w:firstLineChars="0"/>
        <w:jc w:val="center"/>
        <w:textAlignment w:val="auto"/>
        <w:outlineLvl w:val="1"/>
        <w:rPr>
          <w:rFonts w:ascii="Arial" w:hAnsi="Arial" w:eastAsia="黑体" w:cs="Arial"/>
          <w:color w:val="auto"/>
          <w:kern w:val="2"/>
          <w:sz w:val="28"/>
          <w:highlight w:val="none"/>
        </w:rPr>
      </w:pPr>
      <w:bookmarkStart w:id="837" w:name="_Toc492406361"/>
      <w:bookmarkStart w:id="838" w:name="_Toc342296509"/>
      <w:bookmarkStart w:id="839" w:name="_Toc518557356"/>
      <w:bookmarkStart w:id="840" w:name="_Toc241459750"/>
      <w:bookmarkStart w:id="841" w:name="_Toc518556709"/>
      <w:bookmarkStart w:id="842" w:name="_Toc518557105"/>
      <w:bookmarkStart w:id="843" w:name="_Toc499902045"/>
      <w:r>
        <w:rPr>
          <w:rFonts w:eastAsia="黑体" w:cs="宋体"/>
          <w:color w:val="auto"/>
          <w:kern w:val="2"/>
          <w:sz w:val="28"/>
          <w:highlight w:val="none"/>
        </w:rPr>
        <w:t>第</w:t>
      </w:r>
      <w:r>
        <w:rPr>
          <w:rFonts w:hint="eastAsia" w:eastAsia="黑体" w:cs="宋体"/>
          <w:color w:val="auto"/>
          <w:kern w:val="2"/>
          <w:sz w:val="28"/>
          <w:highlight w:val="none"/>
        </w:rPr>
        <w:t>三</w:t>
      </w:r>
      <w:r>
        <w:rPr>
          <w:rFonts w:eastAsia="黑体" w:cs="宋体"/>
          <w:color w:val="auto"/>
          <w:kern w:val="2"/>
          <w:sz w:val="28"/>
          <w:highlight w:val="none"/>
        </w:rPr>
        <w:t>节</w:t>
      </w:r>
      <w:r>
        <w:rPr>
          <w:rFonts w:ascii="Arial" w:hAnsi="Arial" w:eastAsia="黑体" w:cs="Arial"/>
          <w:color w:val="auto"/>
          <w:kern w:val="2"/>
          <w:sz w:val="28"/>
          <w:highlight w:val="none"/>
        </w:rPr>
        <w:t>合同附件格式</w:t>
      </w:r>
      <w:bookmarkEnd w:id="686"/>
      <w:bookmarkEnd w:id="687"/>
      <w:bookmarkEnd w:id="688"/>
      <w:bookmarkEnd w:id="689"/>
      <w:bookmarkEnd w:id="837"/>
      <w:bookmarkEnd w:id="838"/>
      <w:bookmarkEnd w:id="839"/>
      <w:bookmarkEnd w:id="840"/>
      <w:bookmarkEnd w:id="841"/>
      <w:bookmarkEnd w:id="842"/>
      <w:bookmarkEnd w:id="843"/>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pPr>
    </w:p>
    <w:p>
      <w:pPr>
        <w:adjustRightInd/>
        <w:ind w:firstLine="0" w:firstLineChars="0"/>
        <w:jc w:val="both"/>
        <w:textAlignment w:val="auto"/>
        <w:rPr>
          <w:color w:val="auto"/>
          <w:kern w:val="2"/>
          <w:sz w:val="21"/>
          <w:szCs w:val="24"/>
          <w:highlight w:val="none"/>
        </w:rPr>
        <w:sectPr>
          <w:footerReference r:id="rId13" w:type="default"/>
          <w:pgSz w:w="11906" w:h="16838"/>
          <w:pgMar w:top="1440" w:right="1797" w:bottom="1440" w:left="1797" w:header="851" w:footer="992" w:gutter="0"/>
          <w:cols w:space="425" w:num="1"/>
          <w:docGrid w:linePitch="312" w:charSpace="0"/>
        </w:sectPr>
      </w:pPr>
    </w:p>
    <w:p>
      <w:pPr>
        <w:keepNext/>
        <w:keepLines/>
        <w:adjustRightInd/>
        <w:spacing w:beforeLines="50" w:afterLines="50"/>
        <w:ind w:firstLine="0" w:firstLineChars="0"/>
        <w:jc w:val="both"/>
        <w:textAlignment w:val="auto"/>
        <w:outlineLvl w:val="1"/>
        <w:rPr>
          <w:rFonts w:ascii="宋体" w:hAnsi="宋体"/>
          <w:color w:val="auto"/>
          <w:highlight w:val="none"/>
        </w:rPr>
      </w:pPr>
      <w:bookmarkStart w:id="844" w:name="_Toc485323227"/>
      <w:bookmarkStart w:id="845" w:name="_Toc489280259"/>
      <w:bookmarkStart w:id="846" w:name="_Toc497214121"/>
      <w:bookmarkStart w:id="847" w:name="_Toc486580453"/>
      <w:bookmarkStart w:id="848" w:name="_Toc518557357"/>
      <w:bookmarkStart w:id="849" w:name="_Toc497584112"/>
      <w:bookmarkStart w:id="850" w:name="_Toc518557106"/>
      <w:bookmarkStart w:id="851" w:name="_Toc518556710"/>
      <w:bookmarkStart w:id="852" w:name="_Toc492406362"/>
      <w:bookmarkStart w:id="853" w:name="_Toc241459751"/>
      <w:bookmarkStart w:id="854" w:name="_Toc342296510"/>
      <w:bookmarkStart w:id="855" w:name="_Toc499902046"/>
      <w:r>
        <w:rPr>
          <w:rFonts w:hint="eastAsia" w:ascii="宋体" w:hAnsi="宋体"/>
          <w:color w:val="auto"/>
          <w:highlight w:val="none"/>
        </w:rPr>
        <w:t>附件一：合同协议书</w:t>
      </w:r>
      <w:bookmarkEnd w:id="844"/>
      <w:bookmarkEnd w:id="845"/>
      <w:bookmarkEnd w:id="846"/>
      <w:bookmarkEnd w:id="847"/>
      <w:bookmarkEnd w:id="848"/>
      <w:bookmarkEnd w:id="849"/>
      <w:bookmarkEnd w:id="850"/>
      <w:bookmarkEnd w:id="851"/>
    </w:p>
    <w:p>
      <w:pPr>
        <w:adjustRightInd/>
        <w:ind w:firstLine="0" w:firstLineChars="0"/>
        <w:jc w:val="center"/>
        <w:textAlignment w:val="auto"/>
        <w:rPr>
          <w:rFonts w:ascii="宋体"/>
          <w:b/>
          <w:color w:val="auto"/>
          <w:kern w:val="2"/>
          <w:sz w:val="28"/>
          <w:szCs w:val="28"/>
          <w:highlight w:val="none"/>
        </w:rPr>
      </w:pPr>
      <w:r>
        <w:rPr>
          <w:rFonts w:hint="eastAsia" w:ascii="宋体" w:hAnsi="宋体"/>
          <w:b/>
          <w:color w:val="auto"/>
          <w:kern w:val="2"/>
          <w:sz w:val="28"/>
          <w:szCs w:val="28"/>
          <w:highlight w:val="none"/>
        </w:rPr>
        <w:t>合同协议书</w:t>
      </w:r>
    </w:p>
    <w:p>
      <w:pPr>
        <w:adjustRightInd/>
        <w:ind w:firstLine="0" w:firstLineChars="0"/>
        <w:jc w:val="both"/>
        <w:textAlignment w:val="auto"/>
        <w:rPr>
          <w:rFonts w:ascii="宋体"/>
          <w:color w:val="auto"/>
          <w:kern w:val="2"/>
          <w:sz w:val="21"/>
          <w:szCs w:val="21"/>
          <w:highlight w:val="none"/>
        </w:rPr>
      </w:pP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编号：</w:t>
      </w:r>
      <w:r>
        <w:rPr>
          <w:rFonts w:ascii="宋体" w:hAnsi="宋体"/>
          <w:color w:val="auto"/>
          <w:kern w:val="2"/>
          <w:sz w:val="21"/>
          <w:szCs w:val="21"/>
          <w:highlight w:val="none"/>
          <w:u w:val="single"/>
        </w:rPr>
        <w:t xml:space="preserve">                   </w:t>
      </w:r>
    </w:p>
    <w:p>
      <w:pPr>
        <w:adjustRightInd/>
        <w:ind w:firstLine="0" w:firstLineChars="0"/>
        <w:jc w:val="both"/>
        <w:textAlignment w:val="auto"/>
        <w:rPr>
          <w:rFonts w:ascii="宋体" w:cs="Arial"/>
          <w:color w:val="auto"/>
          <w:kern w:val="2"/>
          <w:sz w:val="21"/>
          <w:szCs w:val="21"/>
          <w:highlight w:val="none"/>
        </w:rPr>
      </w:pPr>
      <w:r>
        <w:rPr>
          <w:rFonts w:hint="eastAsia" w:ascii="宋体" w:hAnsi="宋体" w:cs="Arial"/>
          <w:color w:val="auto"/>
          <w:kern w:val="2"/>
          <w:sz w:val="21"/>
          <w:szCs w:val="21"/>
          <w:highlight w:val="none"/>
        </w:rPr>
        <w:t>发包人（全称）：</w:t>
      </w:r>
      <w:r>
        <w:rPr>
          <w:rFonts w:ascii="宋体" w:hAnsi="宋体" w:cs="Arial"/>
          <w:color w:val="auto"/>
          <w:kern w:val="2"/>
          <w:sz w:val="21"/>
          <w:szCs w:val="21"/>
          <w:highlight w:val="none"/>
          <w:u w:val="single"/>
        </w:rPr>
        <w:t xml:space="preserve">                                                              </w:t>
      </w:r>
    </w:p>
    <w:p>
      <w:pPr>
        <w:adjustRightInd/>
        <w:ind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法</w:t>
      </w:r>
      <w:r>
        <w:rPr>
          <w:rFonts w:ascii="宋体" w:hAnsi="宋体"/>
          <w:color w:val="auto"/>
          <w:kern w:val="2"/>
          <w:sz w:val="18"/>
          <w:szCs w:val="21"/>
          <w:highlight w:val="none"/>
        </w:rPr>
        <w:t xml:space="preserve"> </w:t>
      </w:r>
      <w:r>
        <w:rPr>
          <w:rFonts w:hint="eastAsia" w:ascii="宋体" w:hAnsi="宋体"/>
          <w:color w:val="auto"/>
          <w:kern w:val="2"/>
          <w:sz w:val="21"/>
          <w:szCs w:val="21"/>
          <w:highlight w:val="none"/>
        </w:rPr>
        <w:t>定</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代</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表</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人：</w:t>
      </w:r>
      <w:r>
        <w:rPr>
          <w:rFonts w:ascii="宋体" w:hAnsi="宋体" w:cs="Arial"/>
          <w:color w:val="auto"/>
          <w:kern w:val="2"/>
          <w:sz w:val="21"/>
          <w:szCs w:val="21"/>
          <w:highlight w:val="none"/>
          <w:u w:val="single"/>
        </w:rPr>
        <w:t xml:space="preserve">                                                              </w:t>
      </w:r>
    </w:p>
    <w:p>
      <w:pPr>
        <w:adjustRightInd/>
        <w:ind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法定注册地址：</w:t>
      </w:r>
      <w:r>
        <w:rPr>
          <w:rFonts w:ascii="宋体" w:hAnsi="宋体"/>
          <w:color w:val="auto"/>
          <w:kern w:val="2"/>
          <w:sz w:val="21"/>
          <w:szCs w:val="21"/>
          <w:highlight w:val="none"/>
          <w:u w:val="single"/>
        </w:rPr>
        <w:t xml:space="preserve">                                                               </w:t>
      </w:r>
    </w:p>
    <w:p>
      <w:pPr>
        <w:adjustRightInd/>
        <w:ind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承包人（全称）：</w:t>
      </w:r>
      <w:r>
        <w:rPr>
          <w:rFonts w:ascii="宋体" w:hAnsi="宋体"/>
          <w:color w:val="auto"/>
          <w:kern w:val="2"/>
          <w:sz w:val="21"/>
          <w:szCs w:val="21"/>
          <w:highlight w:val="none"/>
          <w:u w:val="single"/>
        </w:rPr>
        <w:t xml:space="preserve">                                                              </w:t>
      </w:r>
    </w:p>
    <w:p>
      <w:pPr>
        <w:adjustRightInd/>
        <w:ind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法</w:t>
      </w:r>
      <w:r>
        <w:rPr>
          <w:rFonts w:ascii="宋体" w:hAnsi="宋体"/>
          <w:color w:val="auto"/>
          <w:kern w:val="2"/>
          <w:sz w:val="18"/>
          <w:szCs w:val="21"/>
          <w:highlight w:val="none"/>
        </w:rPr>
        <w:t xml:space="preserve"> </w:t>
      </w:r>
      <w:r>
        <w:rPr>
          <w:rFonts w:hint="eastAsia" w:ascii="宋体" w:hAnsi="宋体"/>
          <w:color w:val="auto"/>
          <w:kern w:val="2"/>
          <w:sz w:val="21"/>
          <w:szCs w:val="21"/>
          <w:highlight w:val="none"/>
        </w:rPr>
        <w:t>定</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代</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表</w:t>
      </w:r>
      <w:r>
        <w:rPr>
          <w:rFonts w:ascii="宋体" w:hAnsi="宋体"/>
          <w:color w:val="auto"/>
          <w:kern w:val="2"/>
          <w:sz w:val="13"/>
          <w:szCs w:val="21"/>
          <w:highlight w:val="none"/>
        </w:rPr>
        <w:t xml:space="preserve"> </w:t>
      </w:r>
      <w:r>
        <w:rPr>
          <w:rFonts w:hint="eastAsia" w:ascii="宋体" w:hAnsi="宋体"/>
          <w:color w:val="auto"/>
          <w:kern w:val="2"/>
          <w:sz w:val="21"/>
          <w:szCs w:val="21"/>
          <w:highlight w:val="none"/>
        </w:rPr>
        <w:t>人：</w:t>
      </w:r>
      <w:r>
        <w:rPr>
          <w:rFonts w:ascii="宋体" w:hAnsi="宋体" w:cs="Arial"/>
          <w:color w:val="auto"/>
          <w:kern w:val="2"/>
          <w:sz w:val="21"/>
          <w:szCs w:val="21"/>
          <w:highlight w:val="none"/>
          <w:u w:val="single"/>
        </w:rPr>
        <w:t xml:space="preserve">                                                              </w:t>
      </w:r>
    </w:p>
    <w:p>
      <w:pPr>
        <w:adjustRightInd/>
        <w:ind w:firstLine="0" w:firstLineChars="0"/>
        <w:jc w:val="both"/>
        <w:textAlignment w:val="auto"/>
        <w:rPr>
          <w:rFonts w:ascii="宋体"/>
          <w:b/>
          <w:color w:val="auto"/>
          <w:kern w:val="2"/>
          <w:sz w:val="21"/>
          <w:szCs w:val="24"/>
          <w:highlight w:val="none"/>
        </w:rPr>
      </w:pPr>
      <w:r>
        <w:rPr>
          <w:rFonts w:hint="eastAsia" w:ascii="宋体" w:hAnsi="宋体"/>
          <w:color w:val="auto"/>
          <w:kern w:val="2"/>
          <w:sz w:val="21"/>
          <w:szCs w:val="21"/>
          <w:highlight w:val="none"/>
        </w:rPr>
        <w:t>法定注册地址</w:t>
      </w:r>
      <w:r>
        <w:rPr>
          <w:rFonts w:hint="eastAsia" w:ascii="宋体" w:hAnsi="宋体"/>
          <w:b/>
          <w:color w:val="auto"/>
          <w:kern w:val="2"/>
          <w:sz w:val="21"/>
          <w:szCs w:val="21"/>
          <w:highlight w:val="none"/>
        </w:rPr>
        <w:t>：</w:t>
      </w:r>
      <w:r>
        <w:rPr>
          <w:rFonts w:ascii="宋体" w:hAnsi="宋体"/>
          <w:color w:val="auto"/>
          <w:kern w:val="2"/>
          <w:sz w:val="21"/>
          <w:szCs w:val="21"/>
          <w:highlight w:val="none"/>
          <w:u w:val="single"/>
        </w:rPr>
        <w:t xml:space="preserve">                                                               </w:t>
      </w:r>
    </w:p>
    <w:p>
      <w:pPr>
        <w:adjustRightInd/>
        <w:ind w:firstLine="490" w:firstLineChars="0"/>
        <w:jc w:val="both"/>
        <w:textAlignment w:val="auto"/>
        <w:rPr>
          <w:rFonts w:ascii="宋体"/>
          <w:color w:val="auto"/>
          <w:kern w:val="2"/>
          <w:sz w:val="21"/>
          <w:szCs w:val="24"/>
          <w:highlight w:val="none"/>
        </w:rPr>
      </w:pP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1"/>
          <w:highlight w:val="none"/>
        </w:rPr>
        <w:t>发包人为建设</w:t>
      </w:r>
      <w:r>
        <w:rPr>
          <w:rFonts w:ascii="宋体" w:hAnsi="宋体"/>
          <w:color w:val="auto"/>
          <w:kern w:val="2"/>
          <w:sz w:val="21"/>
          <w:szCs w:val="24"/>
          <w:highlight w:val="none"/>
          <w:u w:val="single"/>
        </w:rPr>
        <w:t xml:space="preserve">                               </w:t>
      </w:r>
      <w:r>
        <w:rPr>
          <w:rFonts w:hint="eastAsia" w:ascii="宋体" w:hAnsi="宋体"/>
          <w:color w:val="auto"/>
          <w:kern w:val="2"/>
          <w:sz w:val="21"/>
          <w:szCs w:val="21"/>
          <w:highlight w:val="none"/>
        </w:rPr>
        <w:t>（以下简称“本工程”），已接受承包人提出的承担本工程的施工、竣工、交付并维修其任何缺陷的投标。</w:t>
      </w:r>
      <w:r>
        <w:rPr>
          <w:rFonts w:hint="eastAsia" w:ascii="宋体" w:hAnsi="宋体"/>
          <w:color w:val="auto"/>
          <w:kern w:val="2"/>
          <w:sz w:val="21"/>
          <w:szCs w:val="24"/>
          <w:highlight w:val="none"/>
        </w:rPr>
        <w:t>依照《中华人民共和国招标投标法》、《中华人民共和国合同法》、《中华人民共和国建筑法》、及其他有关法律、行政法规，遵循平等、自愿、公平和诚实信用的原则，双方共同达成并订立如下协议。</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一、工程概况</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工程名称：</w:t>
      </w:r>
      <w:r>
        <w:rPr>
          <w:rFonts w:ascii="宋体" w:hAnsi="宋体"/>
          <w:color w:val="auto"/>
          <w:kern w:val="2"/>
          <w:sz w:val="21"/>
          <w:szCs w:val="24"/>
          <w:highlight w:val="none"/>
          <w:u w:val="single"/>
        </w:rPr>
        <w:t xml:space="preserve">                                                                 </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工程地点：</w:t>
      </w:r>
      <w:r>
        <w:rPr>
          <w:rFonts w:ascii="宋体" w:hAnsi="宋体"/>
          <w:color w:val="auto"/>
          <w:kern w:val="2"/>
          <w:sz w:val="21"/>
          <w:szCs w:val="24"/>
          <w:highlight w:val="none"/>
          <w:u w:val="single"/>
        </w:rPr>
        <w:t xml:space="preserve">                                                                  </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工程内容：</w:t>
      </w:r>
      <w:r>
        <w:rPr>
          <w:rFonts w:ascii="宋体" w:hAnsi="宋体"/>
          <w:color w:val="auto"/>
          <w:kern w:val="2"/>
          <w:sz w:val="21"/>
          <w:szCs w:val="24"/>
          <w:highlight w:val="none"/>
          <w:u w:val="single"/>
        </w:rPr>
        <w:t xml:space="preserve">                                                                  </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群体工程应附“承包人承揽工程项目一览表”（附件二）</w:t>
      </w:r>
    </w:p>
    <w:p>
      <w:pPr>
        <w:adjustRightInd/>
        <w:ind w:firstLine="420"/>
        <w:jc w:val="both"/>
        <w:textAlignment w:val="auto"/>
        <w:rPr>
          <w:rFonts w:ascii="宋体" w:hAnsi="宋体"/>
          <w:color w:val="auto"/>
          <w:kern w:val="2"/>
          <w:sz w:val="21"/>
          <w:szCs w:val="24"/>
          <w:highlight w:val="none"/>
          <w:u w:val="single"/>
        </w:rPr>
      </w:pPr>
      <w:r>
        <w:rPr>
          <w:rFonts w:hint="eastAsia" w:ascii="宋体" w:hAnsi="宋体"/>
          <w:color w:val="auto"/>
          <w:kern w:val="2"/>
          <w:sz w:val="21"/>
          <w:szCs w:val="24"/>
          <w:highlight w:val="none"/>
        </w:rPr>
        <w:t>工程立项批准文号：</w:t>
      </w:r>
      <w:r>
        <w:rPr>
          <w:rFonts w:ascii="宋体" w:hAnsi="宋体"/>
          <w:color w:val="auto"/>
          <w:kern w:val="2"/>
          <w:sz w:val="21"/>
          <w:szCs w:val="24"/>
          <w:highlight w:val="none"/>
          <w:u w:val="single"/>
        </w:rPr>
        <w:t xml:space="preserve">                                                         </w:t>
      </w:r>
    </w:p>
    <w:p>
      <w:pPr>
        <w:adjustRightInd/>
        <w:ind w:firstLine="420"/>
        <w:jc w:val="both"/>
        <w:textAlignment w:val="auto"/>
        <w:rPr>
          <w:rFonts w:ascii="宋体" w:hAnsi="宋体"/>
          <w:color w:val="auto"/>
          <w:kern w:val="2"/>
          <w:sz w:val="21"/>
          <w:szCs w:val="24"/>
          <w:highlight w:val="none"/>
          <w:u w:val="single"/>
        </w:rPr>
      </w:pPr>
      <w:r>
        <w:rPr>
          <w:rFonts w:hint="eastAsia" w:ascii="宋体" w:hAnsi="宋体"/>
          <w:color w:val="auto"/>
          <w:kern w:val="2"/>
          <w:sz w:val="21"/>
          <w:szCs w:val="24"/>
          <w:highlight w:val="none"/>
        </w:rPr>
        <w:t>资金来源：</w:t>
      </w:r>
      <w:r>
        <w:rPr>
          <w:rFonts w:ascii="宋体" w:hAnsi="宋体"/>
          <w:color w:val="auto"/>
          <w:kern w:val="2"/>
          <w:sz w:val="21"/>
          <w:szCs w:val="24"/>
          <w:highlight w:val="none"/>
          <w:u w:val="single"/>
        </w:rPr>
        <w:t xml:space="preserve">                                                                 </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二、工程承包范围</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承包范围：</w:t>
      </w:r>
      <w:r>
        <w:rPr>
          <w:rFonts w:ascii="宋体" w:hAnsi="宋体"/>
          <w:color w:val="auto"/>
          <w:kern w:val="2"/>
          <w:sz w:val="21"/>
          <w:szCs w:val="24"/>
          <w:highlight w:val="none"/>
          <w:u w:val="single"/>
        </w:rPr>
        <w:t xml:space="preserve">                                                                 </w:t>
      </w:r>
    </w:p>
    <w:p>
      <w:pPr>
        <w:adjustRightInd/>
        <w:ind w:firstLine="420"/>
        <w:jc w:val="both"/>
        <w:textAlignment w:val="auto"/>
        <w:rPr>
          <w:rFonts w:ascii="宋体"/>
          <w:b/>
          <w:color w:val="auto"/>
          <w:kern w:val="2"/>
          <w:sz w:val="21"/>
          <w:szCs w:val="24"/>
          <w:highlight w:val="none"/>
          <w:u w:val="single"/>
        </w:rPr>
      </w:pPr>
      <w:r>
        <w:rPr>
          <w:rFonts w:hint="eastAsia" w:ascii="宋体" w:hAnsi="宋体"/>
          <w:color w:val="auto"/>
          <w:kern w:val="2"/>
          <w:sz w:val="21"/>
          <w:szCs w:val="24"/>
          <w:highlight w:val="none"/>
        </w:rPr>
        <w:t>详细承包范围见第五章“技术标准和要求”。</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三、合同工期</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计划开工日期：</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月</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日</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计划竣工日期：</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月</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日</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工期总日历天数</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天，自监理人发出的开工通知中载明的开工日期起算。</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四、质量标准</w:t>
      </w:r>
    </w:p>
    <w:p>
      <w:pPr>
        <w:adjustRightInd/>
        <w:ind w:firstLine="420"/>
        <w:jc w:val="both"/>
        <w:textAlignment w:val="auto"/>
        <w:rPr>
          <w:rFonts w:ascii="宋体" w:hAnsi="宋体"/>
          <w:color w:val="auto"/>
          <w:kern w:val="2"/>
          <w:sz w:val="21"/>
          <w:szCs w:val="24"/>
          <w:highlight w:val="none"/>
          <w:u w:val="single"/>
        </w:rPr>
      </w:pPr>
      <w:r>
        <w:rPr>
          <w:rFonts w:hint="eastAsia" w:ascii="宋体" w:hAnsi="宋体"/>
          <w:color w:val="auto"/>
          <w:kern w:val="2"/>
          <w:sz w:val="21"/>
          <w:szCs w:val="24"/>
          <w:highlight w:val="none"/>
        </w:rPr>
        <w:t>工程质量标准：</w:t>
      </w:r>
      <w:r>
        <w:rPr>
          <w:rFonts w:ascii="宋体" w:hAnsi="宋体"/>
          <w:color w:val="auto"/>
          <w:kern w:val="2"/>
          <w:sz w:val="21"/>
          <w:szCs w:val="24"/>
          <w:highlight w:val="none"/>
          <w:u w:val="single"/>
        </w:rPr>
        <w:t xml:space="preserve">                                                             </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五、合同形式</w:t>
      </w:r>
    </w:p>
    <w:p>
      <w:pPr>
        <w:adjustRightInd/>
        <w:ind w:firstLine="420"/>
        <w:jc w:val="both"/>
        <w:textAlignment w:val="auto"/>
        <w:rPr>
          <w:rFonts w:ascii="宋体"/>
          <w:b/>
          <w:color w:val="auto"/>
          <w:kern w:val="2"/>
          <w:sz w:val="21"/>
          <w:szCs w:val="24"/>
          <w:highlight w:val="none"/>
          <w:u w:val="single"/>
        </w:rPr>
      </w:pPr>
      <w:r>
        <w:rPr>
          <w:rFonts w:hint="eastAsia" w:ascii="宋体" w:hAnsi="宋体"/>
          <w:color w:val="auto"/>
          <w:kern w:val="2"/>
          <w:sz w:val="21"/>
          <w:szCs w:val="24"/>
          <w:highlight w:val="none"/>
        </w:rPr>
        <w:t>本合同采用</w:t>
      </w:r>
      <w:r>
        <w:rPr>
          <w:rFonts w:ascii="宋体" w:hAnsi="宋体"/>
          <w:color w:val="auto"/>
          <w:kern w:val="2"/>
          <w:sz w:val="21"/>
          <w:szCs w:val="24"/>
          <w:highlight w:val="none"/>
        </w:rPr>
        <w:t xml:space="preserve"> </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合同形式。</w:t>
      </w:r>
    </w:p>
    <w:p>
      <w:pPr>
        <w:adjustRightInd/>
        <w:ind w:firstLine="420"/>
        <w:jc w:val="both"/>
        <w:textAlignment w:val="auto"/>
        <w:rPr>
          <w:rFonts w:ascii="宋体"/>
          <w:bCs/>
          <w:color w:val="auto"/>
          <w:kern w:val="2"/>
          <w:sz w:val="21"/>
          <w:szCs w:val="24"/>
          <w:highlight w:val="none"/>
        </w:rPr>
      </w:pPr>
      <w:r>
        <w:rPr>
          <w:rFonts w:hint="eastAsia" w:ascii="宋体" w:hAnsi="宋体"/>
          <w:bCs/>
          <w:color w:val="auto"/>
          <w:kern w:val="2"/>
          <w:sz w:val="21"/>
          <w:szCs w:val="24"/>
          <w:highlight w:val="none"/>
        </w:rPr>
        <w:t>六、签约合同价</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金额（大写）：</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（人民币）</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（小写）￥：</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w:t>
      </w:r>
    </w:p>
    <w:p>
      <w:pPr>
        <w:adjustRightInd/>
        <w:ind w:firstLine="630" w:firstLineChars="30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其中：安全文明施工费：</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w:t>
      </w:r>
    </w:p>
    <w:p>
      <w:pPr>
        <w:adjustRightInd/>
        <w:ind w:firstLine="1260" w:firstLineChars="60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暂列金额（含税）：</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w:t>
      </w:r>
    </w:p>
    <w:p>
      <w:pPr>
        <w:adjustRightInd/>
        <w:ind w:firstLine="1260" w:firstLineChars="600"/>
        <w:textAlignment w:val="auto"/>
        <w:rPr>
          <w:rFonts w:ascii="宋体"/>
          <w:color w:val="auto"/>
          <w:kern w:val="2"/>
          <w:sz w:val="21"/>
          <w:szCs w:val="24"/>
          <w:highlight w:val="none"/>
        </w:rPr>
      </w:pPr>
      <w:r>
        <w:rPr>
          <w:rFonts w:hint="eastAsia" w:ascii="宋体" w:hAnsi="宋体"/>
          <w:bCs/>
          <w:color w:val="auto"/>
          <w:kern w:val="2"/>
          <w:sz w:val="21"/>
          <w:szCs w:val="24"/>
          <w:highlight w:val="none"/>
        </w:rPr>
        <w:t>专业工程暂估价</w:t>
      </w:r>
      <w:r>
        <w:rPr>
          <w:rFonts w:hint="eastAsia" w:ascii="宋体" w:hAnsi="宋体"/>
          <w:color w:val="auto"/>
          <w:kern w:val="2"/>
          <w:sz w:val="21"/>
          <w:szCs w:val="24"/>
          <w:highlight w:val="none"/>
        </w:rPr>
        <w:t>（含税）</w:t>
      </w:r>
      <w:r>
        <w:rPr>
          <w:rFonts w:hint="eastAsia" w:ascii="宋体" w:hAnsi="宋体"/>
          <w:bCs/>
          <w:color w:val="auto"/>
          <w:kern w:val="2"/>
          <w:sz w:val="21"/>
          <w:szCs w:val="24"/>
          <w:highlight w:val="none"/>
        </w:rPr>
        <w:t>：</w:t>
      </w:r>
      <w:r>
        <w:rPr>
          <w:rFonts w:ascii="宋体" w:hAnsi="宋体"/>
          <w:color w:val="auto"/>
          <w:kern w:val="2"/>
          <w:sz w:val="21"/>
          <w:szCs w:val="24"/>
          <w:highlight w:val="none"/>
          <w:u w:val="single"/>
        </w:rPr>
        <w:t xml:space="preserve">      </w:t>
      </w:r>
      <w:r>
        <w:rPr>
          <w:rFonts w:ascii="宋体" w:hAnsi="宋体"/>
          <w:color w:val="auto"/>
          <w:kern w:val="2"/>
          <w:szCs w:val="24"/>
          <w:highlight w:val="none"/>
          <w:u w:val="single"/>
        </w:rPr>
        <w:t xml:space="preserve"> </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w:t>
      </w:r>
    </w:p>
    <w:p>
      <w:pPr>
        <w:adjustRightInd/>
        <w:ind w:firstLine="1274" w:firstLineChars="607"/>
        <w:jc w:val="both"/>
        <w:textAlignment w:val="auto"/>
        <w:rPr>
          <w:rFonts w:ascii="宋体"/>
          <w:b/>
          <w:color w:val="auto"/>
          <w:kern w:val="2"/>
          <w:sz w:val="21"/>
          <w:szCs w:val="24"/>
          <w:highlight w:val="none"/>
        </w:rPr>
      </w:pPr>
      <w:r>
        <w:rPr>
          <w:rFonts w:hint="eastAsia" w:ascii="宋体"/>
          <w:color w:val="auto"/>
          <w:kern w:val="2"/>
          <w:sz w:val="21"/>
          <w:szCs w:val="24"/>
          <w:highlight w:val="none"/>
        </w:rPr>
        <w:t>……</w:t>
      </w:r>
    </w:p>
    <w:p>
      <w:pPr>
        <w:adjustRightInd/>
        <w:ind w:firstLine="420"/>
        <w:jc w:val="both"/>
        <w:textAlignment w:val="auto"/>
        <w:rPr>
          <w:rFonts w:ascii="宋体"/>
          <w:bCs/>
          <w:color w:val="auto"/>
          <w:kern w:val="2"/>
          <w:sz w:val="21"/>
          <w:szCs w:val="24"/>
          <w:highlight w:val="none"/>
        </w:rPr>
      </w:pPr>
      <w:r>
        <w:rPr>
          <w:rFonts w:hint="eastAsia" w:ascii="宋体" w:hAnsi="宋体"/>
          <w:bCs/>
          <w:color w:val="auto"/>
          <w:kern w:val="2"/>
          <w:sz w:val="21"/>
          <w:szCs w:val="24"/>
          <w:highlight w:val="none"/>
        </w:rPr>
        <w:t>七、承包人项目经理：</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姓名：</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职称：</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身份证号：</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建造师执业资格证书号：</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建造师注册证书号：</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建造师执业印章号：</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安全生产考核合格证书号：</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八、合同文件的组成</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下列文件共同构成合同文件：</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、本协议书；</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、中标通知书；</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w:t>
      </w:r>
      <w:r>
        <w:rPr>
          <w:rFonts w:hint="eastAsia" w:ascii="宋体" w:hAnsi="宋体"/>
          <w:color w:val="auto"/>
          <w:kern w:val="2"/>
          <w:sz w:val="21"/>
          <w:szCs w:val="21"/>
          <w:highlight w:val="none"/>
        </w:rPr>
        <w:t>投标函及投标函附录</w:t>
      </w:r>
      <w:r>
        <w:rPr>
          <w:rFonts w:hint="eastAsia" w:ascii="宋体" w:hAnsi="宋体"/>
          <w:color w:val="auto"/>
          <w:kern w:val="2"/>
          <w:sz w:val="21"/>
          <w:szCs w:val="24"/>
          <w:highlight w:val="none"/>
        </w:rPr>
        <w:t>；</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、合同条款专用部分；</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5</w:t>
      </w:r>
      <w:r>
        <w:rPr>
          <w:rFonts w:hint="eastAsia" w:ascii="宋体" w:hAnsi="宋体"/>
          <w:color w:val="auto"/>
          <w:kern w:val="2"/>
          <w:sz w:val="21"/>
          <w:szCs w:val="24"/>
          <w:highlight w:val="none"/>
        </w:rPr>
        <w:t>、合同条款通用部分；</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6</w:t>
      </w:r>
      <w:r>
        <w:rPr>
          <w:rFonts w:hint="eastAsia" w:ascii="宋体" w:hAnsi="宋体"/>
          <w:color w:val="auto"/>
          <w:kern w:val="2"/>
          <w:sz w:val="21"/>
          <w:szCs w:val="24"/>
          <w:highlight w:val="none"/>
        </w:rPr>
        <w:t>、</w:t>
      </w:r>
      <w:r>
        <w:rPr>
          <w:rFonts w:hint="eastAsia" w:ascii="宋体" w:hAnsi="宋体"/>
          <w:color w:val="auto"/>
          <w:kern w:val="2"/>
          <w:sz w:val="21"/>
          <w:szCs w:val="21"/>
          <w:highlight w:val="none"/>
        </w:rPr>
        <w:t>技术标准和要求；</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7</w:t>
      </w:r>
      <w:r>
        <w:rPr>
          <w:rFonts w:hint="eastAsia" w:ascii="宋体" w:hAnsi="宋体"/>
          <w:color w:val="auto"/>
          <w:kern w:val="2"/>
          <w:sz w:val="21"/>
          <w:szCs w:val="24"/>
          <w:highlight w:val="none"/>
        </w:rPr>
        <w:t>、图纸；</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8</w:t>
      </w:r>
      <w:r>
        <w:rPr>
          <w:rFonts w:hint="eastAsia" w:ascii="宋体" w:hAnsi="宋体"/>
          <w:color w:val="auto"/>
          <w:kern w:val="2"/>
          <w:sz w:val="21"/>
          <w:szCs w:val="24"/>
          <w:highlight w:val="none"/>
        </w:rPr>
        <w:t>、已标价工程量清单；</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9</w:t>
      </w:r>
      <w:r>
        <w:rPr>
          <w:rFonts w:hint="eastAsia" w:ascii="宋体" w:hAnsi="宋体"/>
          <w:color w:val="auto"/>
          <w:kern w:val="2"/>
          <w:sz w:val="21"/>
          <w:szCs w:val="24"/>
          <w:highlight w:val="none"/>
        </w:rPr>
        <w:t>、其他合同文件。</w:t>
      </w:r>
    </w:p>
    <w:p>
      <w:pPr>
        <w:adjustRightInd/>
        <w:ind w:firstLine="42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上述文件互相补充和解释，如有不明确或不一致之处，以合同约定次序在先者为准。</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九、本协议书中有关词语定义与合同条款中的定义相同。</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十、承包人承诺按照合同约定进行施工、竣工、交付并承担质量缺陷保修责任。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十一、发包人承诺按照合同约定的条件、期限和方式向承包人支付合同价款。</w:t>
      </w:r>
    </w:p>
    <w:p>
      <w:pPr>
        <w:adjustRightInd/>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十二、本协议书连同其他合同文件正本一式两份，合同双方各执一份；副本一式</w:t>
      </w:r>
      <w:r>
        <w:rPr>
          <w:rFonts w:ascii="宋体" w:hAnsi="宋体"/>
          <w:color w:val="auto"/>
          <w:kern w:val="2"/>
          <w:sz w:val="21"/>
          <w:szCs w:val="24"/>
          <w:highlight w:val="none"/>
          <w:u w:val="single"/>
        </w:rPr>
        <w:t xml:space="preserve">    </w:t>
      </w:r>
    </w:p>
    <w:p>
      <w:pPr>
        <w:adjustRightInd/>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份，其中一份在合同报送建设行政主管部门备案时留存。</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十三、合同未尽事宜，双方另行签订补充协议，但不得背离本协议第八条所约定的合同文件的实质性内容。补充协议是合同文件的组成部分。</w:t>
      </w:r>
    </w:p>
    <w:p>
      <w:pPr>
        <w:adjustRightInd/>
        <w:ind w:firstLine="0" w:firstLineChars="0"/>
        <w:jc w:val="both"/>
        <w:textAlignment w:val="auto"/>
        <w:rPr>
          <w:rFonts w:ascii="宋体"/>
          <w:color w:val="auto"/>
          <w:kern w:val="2"/>
          <w:sz w:val="21"/>
          <w:szCs w:val="21"/>
          <w:highlight w:val="none"/>
          <w:u w:val="single"/>
        </w:rPr>
      </w:pPr>
    </w:p>
    <w:p>
      <w:pPr>
        <w:adjustRightInd/>
        <w:ind w:firstLine="0" w:firstLineChars="0"/>
        <w:jc w:val="both"/>
        <w:textAlignment w:val="auto"/>
        <w:rPr>
          <w:rFonts w:ascii="宋体"/>
          <w:b/>
          <w:bCs/>
          <w:color w:val="auto"/>
          <w:kern w:val="2"/>
          <w:sz w:val="21"/>
          <w:szCs w:val="21"/>
          <w:highlight w:val="none"/>
        </w:rPr>
      </w:pPr>
    </w:p>
    <w:p>
      <w:pPr>
        <w:adjustRightInd/>
        <w:ind w:firstLine="0" w:firstLineChars="0"/>
        <w:jc w:val="both"/>
        <w:textAlignment w:val="auto"/>
        <w:rPr>
          <w:rFonts w:ascii="宋体"/>
          <w:color w:val="auto"/>
          <w:kern w:val="2"/>
          <w:sz w:val="21"/>
          <w:szCs w:val="21"/>
          <w:highlight w:val="none"/>
        </w:rPr>
      </w:pPr>
      <w:r>
        <w:rPr>
          <w:rFonts w:hint="eastAsia" w:ascii="宋体" w:hAnsi="宋体"/>
          <w:bCs/>
          <w:color w:val="auto"/>
          <w:kern w:val="2"/>
          <w:sz w:val="21"/>
          <w:szCs w:val="21"/>
          <w:highlight w:val="none"/>
        </w:rPr>
        <w:t>发包人：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r>
        <w:rPr>
          <w:rFonts w:ascii="宋体" w:hAnsi="宋体"/>
          <w:bCs/>
          <w:color w:val="auto"/>
          <w:kern w:val="2"/>
          <w:sz w:val="21"/>
          <w:szCs w:val="21"/>
          <w:highlight w:val="none"/>
        </w:rPr>
        <w:t xml:space="preserve"> </w:t>
      </w:r>
      <w:r>
        <w:rPr>
          <w:rFonts w:hint="eastAsia" w:ascii="宋体" w:hAnsi="宋体"/>
          <w:bCs/>
          <w:color w:val="auto"/>
          <w:kern w:val="2"/>
          <w:sz w:val="21"/>
          <w:szCs w:val="21"/>
          <w:highlight w:val="none"/>
        </w:rPr>
        <w:t>承包人：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p>
    <w:p>
      <w:pPr>
        <w:adjustRightInd/>
        <w:ind w:firstLine="0" w:firstLineChars="0"/>
        <w:jc w:val="both"/>
        <w:textAlignment w:val="auto"/>
        <w:rPr>
          <w:rFonts w:ascii="宋体"/>
          <w:color w:val="auto"/>
          <w:kern w:val="2"/>
          <w:sz w:val="21"/>
          <w:szCs w:val="21"/>
          <w:highlight w:val="none"/>
        </w:rPr>
      </w:pPr>
    </w:p>
    <w:p>
      <w:pPr>
        <w:adjustRightInd/>
        <w:ind w:firstLine="0" w:firstLineChars="0"/>
        <w:jc w:val="both"/>
        <w:textAlignment w:val="auto"/>
        <w:rPr>
          <w:rFonts w:ascii="宋体"/>
          <w:color w:val="auto"/>
          <w:kern w:val="2"/>
          <w:sz w:val="21"/>
          <w:szCs w:val="21"/>
          <w:highlight w:val="none"/>
        </w:rPr>
      </w:pPr>
      <w:r>
        <w:rPr>
          <w:rFonts w:hint="eastAsia" w:ascii="宋体" w:hAnsi="宋体"/>
          <w:bCs/>
          <w:color w:val="auto"/>
          <w:kern w:val="2"/>
          <w:sz w:val="21"/>
          <w:szCs w:val="21"/>
          <w:highlight w:val="none"/>
        </w:rPr>
        <w:t>法定代表人或其</w:t>
      </w:r>
      <w:r>
        <w:rPr>
          <w:rFonts w:ascii="宋体" w:hAnsi="宋体"/>
          <w:color w:val="auto"/>
          <w:kern w:val="2"/>
          <w:sz w:val="21"/>
          <w:szCs w:val="21"/>
          <w:highlight w:val="none"/>
        </w:rPr>
        <w:t xml:space="preserve">                           </w:t>
      </w:r>
      <w:r>
        <w:rPr>
          <w:rFonts w:hint="eastAsia" w:ascii="宋体" w:hAnsi="宋体"/>
          <w:bCs/>
          <w:color w:val="auto"/>
          <w:kern w:val="2"/>
          <w:sz w:val="21"/>
          <w:szCs w:val="21"/>
          <w:highlight w:val="none"/>
        </w:rPr>
        <w:t>法定代表人或其</w:t>
      </w:r>
    </w:p>
    <w:p>
      <w:pPr>
        <w:adjustRightInd/>
        <w:ind w:firstLine="0" w:firstLineChars="0"/>
        <w:jc w:val="both"/>
        <w:textAlignment w:val="auto"/>
        <w:rPr>
          <w:rFonts w:ascii="宋体"/>
          <w:color w:val="auto"/>
          <w:kern w:val="2"/>
          <w:sz w:val="21"/>
          <w:szCs w:val="21"/>
          <w:highlight w:val="none"/>
        </w:rPr>
      </w:pPr>
      <w:r>
        <w:rPr>
          <w:rFonts w:hint="eastAsia" w:ascii="宋体" w:hAnsi="宋体"/>
          <w:bCs/>
          <w:color w:val="auto"/>
          <w:kern w:val="2"/>
          <w:sz w:val="21"/>
          <w:szCs w:val="21"/>
          <w:highlight w:val="none"/>
        </w:rPr>
        <w:t>委托代理人：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（签字）</w:t>
      </w:r>
      <w:r>
        <w:rPr>
          <w:rFonts w:ascii="宋体" w:hAnsi="宋体"/>
          <w:color w:val="auto"/>
          <w:kern w:val="2"/>
          <w:sz w:val="21"/>
          <w:szCs w:val="21"/>
          <w:highlight w:val="none"/>
        </w:rPr>
        <w:t xml:space="preserve"> </w:t>
      </w:r>
      <w:r>
        <w:rPr>
          <w:rFonts w:ascii="宋体" w:hAnsi="宋体"/>
          <w:bCs/>
          <w:color w:val="auto"/>
          <w:kern w:val="2"/>
          <w:sz w:val="21"/>
          <w:szCs w:val="21"/>
          <w:highlight w:val="none"/>
        </w:rPr>
        <w:t xml:space="preserve"> </w:t>
      </w:r>
      <w:r>
        <w:rPr>
          <w:rFonts w:hint="eastAsia" w:ascii="宋体" w:hAnsi="宋体"/>
          <w:bCs/>
          <w:color w:val="auto"/>
          <w:kern w:val="2"/>
          <w:sz w:val="21"/>
          <w:szCs w:val="21"/>
          <w:highlight w:val="none"/>
        </w:rPr>
        <w:t>委托代理人：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（签字）</w:t>
      </w:r>
    </w:p>
    <w:p>
      <w:pPr>
        <w:adjustRightInd/>
        <w:ind w:firstLine="0" w:firstLineChars="0"/>
        <w:jc w:val="both"/>
        <w:textAlignment w:val="auto"/>
        <w:rPr>
          <w:rFonts w:ascii="宋体"/>
          <w:color w:val="auto"/>
          <w:kern w:val="2"/>
          <w:sz w:val="21"/>
          <w:szCs w:val="21"/>
          <w:highlight w:val="none"/>
          <w:u w:val="single"/>
        </w:rPr>
      </w:pPr>
    </w:p>
    <w:p>
      <w:pPr>
        <w:adjustRightInd/>
        <w:ind w:firstLine="0" w:firstLineChars="0"/>
        <w:jc w:val="both"/>
        <w:textAlignment w:val="auto"/>
        <w:rPr>
          <w:rFonts w:ascii="宋体"/>
          <w:color w:val="auto"/>
          <w:kern w:val="2"/>
          <w:sz w:val="21"/>
          <w:szCs w:val="21"/>
          <w:highlight w:val="none"/>
        </w:rPr>
      </w:pP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rPr>
        <w:t xml:space="preserve"> </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日</w:t>
      </w:r>
      <w:r>
        <w:rPr>
          <w:rFonts w:ascii="宋体" w:hAnsi="宋体"/>
          <w:color w:val="auto"/>
          <w:kern w:val="2"/>
          <w:sz w:val="21"/>
          <w:szCs w:val="21"/>
          <w:highlight w:val="none"/>
        </w:rPr>
        <w:t xml:space="preserve">                            </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rPr>
        <w:t xml:space="preserve"> </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日</w:t>
      </w:r>
    </w:p>
    <w:p>
      <w:pPr>
        <w:adjustRightInd/>
        <w:ind w:firstLine="0" w:firstLineChars="0"/>
        <w:jc w:val="both"/>
        <w:textAlignment w:val="auto"/>
        <w:rPr>
          <w:rFonts w:ascii="宋体"/>
          <w:color w:val="auto"/>
          <w:kern w:val="2"/>
          <w:sz w:val="21"/>
          <w:szCs w:val="21"/>
          <w:highlight w:val="none"/>
        </w:rPr>
      </w:pPr>
    </w:p>
    <w:p>
      <w:pPr>
        <w:adjustRightInd/>
        <w:ind w:firstLine="0" w:firstLineChars="0"/>
        <w:jc w:val="both"/>
        <w:textAlignment w:val="auto"/>
        <w:rPr>
          <w:rFonts w:ascii="宋体"/>
          <w:b/>
          <w:color w:val="auto"/>
          <w:kern w:val="2"/>
          <w:sz w:val="21"/>
          <w:szCs w:val="21"/>
          <w:highlight w:val="none"/>
        </w:rPr>
      </w:pPr>
      <w:r>
        <w:rPr>
          <w:rFonts w:hint="eastAsia" w:ascii="宋体" w:hAnsi="宋体"/>
          <w:color w:val="auto"/>
          <w:kern w:val="2"/>
          <w:sz w:val="21"/>
          <w:szCs w:val="21"/>
          <w:highlight w:val="none"/>
        </w:rPr>
        <w:t>签约地点：</w:t>
      </w:r>
      <w:r>
        <w:rPr>
          <w:rFonts w:ascii="宋体" w:hAnsi="宋体"/>
          <w:color w:val="auto"/>
          <w:kern w:val="2"/>
          <w:sz w:val="21"/>
          <w:szCs w:val="21"/>
          <w:highlight w:val="none"/>
          <w:u w:val="single"/>
        </w:rPr>
        <w:t xml:space="preserve">                                                                   </w:t>
      </w:r>
      <w:r>
        <w:rPr>
          <w:rFonts w:ascii="宋体" w:hAnsi="宋体"/>
          <w:b/>
          <w:color w:val="auto"/>
          <w:kern w:val="2"/>
          <w:sz w:val="21"/>
          <w:szCs w:val="21"/>
          <w:highlight w:val="none"/>
          <w:u w:val="single"/>
        </w:rPr>
        <w:t xml:space="preserve"> </w:t>
      </w:r>
    </w:p>
    <w:p>
      <w:pPr>
        <w:keepNext/>
        <w:keepLines/>
        <w:adjustRightInd/>
        <w:spacing w:beforeLines="50" w:afterLines="50"/>
        <w:ind w:firstLine="0" w:firstLineChars="0"/>
        <w:jc w:val="both"/>
        <w:textAlignment w:val="auto"/>
        <w:outlineLvl w:val="1"/>
        <w:rPr>
          <w:rFonts w:ascii="宋体" w:hAnsi="宋体"/>
          <w:color w:val="auto"/>
          <w:highlight w:val="none"/>
        </w:rPr>
      </w:pPr>
      <w:r>
        <w:rPr>
          <w:rFonts w:ascii="宋体" w:hAnsi="宋体"/>
          <w:color w:val="auto"/>
          <w:szCs w:val="21"/>
          <w:highlight w:val="none"/>
        </w:rPr>
        <w:br w:type="page"/>
      </w:r>
      <w:bookmarkStart w:id="856" w:name="_Toc497584113"/>
      <w:bookmarkStart w:id="857" w:name="_Toc518556711"/>
      <w:bookmarkStart w:id="858" w:name="_Toc518557107"/>
      <w:bookmarkStart w:id="859" w:name="_Toc518557358"/>
      <w:bookmarkStart w:id="860" w:name="_Toc497214122"/>
      <w:bookmarkStart w:id="861" w:name="_Toc489280260"/>
      <w:bookmarkStart w:id="862" w:name="_Toc486580454"/>
      <w:r>
        <w:rPr>
          <w:rFonts w:hint="eastAsia" w:ascii="宋体" w:hAnsi="宋体"/>
          <w:color w:val="auto"/>
          <w:highlight w:val="none"/>
        </w:rPr>
        <w:t>附件二：承包人承揽工程项目一览表</w:t>
      </w:r>
      <w:bookmarkEnd w:id="856"/>
      <w:bookmarkEnd w:id="857"/>
      <w:bookmarkEnd w:id="858"/>
      <w:bookmarkEnd w:id="859"/>
      <w:bookmarkEnd w:id="860"/>
      <w:bookmarkEnd w:id="861"/>
      <w:bookmarkEnd w:id="862"/>
    </w:p>
    <w:p>
      <w:pPr>
        <w:adjustRightInd/>
        <w:ind w:firstLine="0" w:firstLineChars="0"/>
        <w:jc w:val="center"/>
        <w:textAlignment w:val="auto"/>
        <w:rPr>
          <w:rFonts w:ascii="宋体"/>
          <w:b/>
          <w:color w:val="auto"/>
          <w:kern w:val="2"/>
          <w:sz w:val="28"/>
          <w:szCs w:val="28"/>
          <w:highlight w:val="none"/>
        </w:rPr>
      </w:pPr>
      <w:r>
        <w:rPr>
          <w:rFonts w:hint="eastAsia" w:ascii="宋体" w:hAnsi="宋体"/>
          <w:b/>
          <w:color w:val="auto"/>
          <w:kern w:val="2"/>
          <w:sz w:val="28"/>
          <w:szCs w:val="28"/>
          <w:highlight w:val="none"/>
        </w:rPr>
        <w:t>承包人承揽工程项目一览表</w:t>
      </w:r>
    </w:p>
    <w:tbl>
      <w:tblPr>
        <w:tblStyle w:val="47"/>
        <w:tblW w:w="8782"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791"/>
        <w:gridCol w:w="1155"/>
        <w:gridCol w:w="525"/>
        <w:gridCol w:w="525"/>
        <w:gridCol w:w="735"/>
        <w:gridCol w:w="1155"/>
        <w:gridCol w:w="735"/>
        <w:gridCol w:w="73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单位工程</w:t>
            </w:r>
          </w:p>
          <w:p>
            <w:pPr>
              <w:adjustRightInd/>
              <w:spacing w:line="540" w:lineRule="exact"/>
              <w:ind w:firstLine="0" w:firstLineChars="0"/>
              <w:jc w:val="center"/>
              <w:textAlignment w:val="auto"/>
              <w:rPr>
                <w:rFonts w:ascii="宋体"/>
                <w:color w:val="auto"/>
                <w:spacing w:val="12"/>
                <w:kern w:val="2"/>
                <w:sz w:val="21"/>
                <w:szCs w:val="24"/>
                <w:highlight w:val="none"/>
              </w:rPr>
            </w:pPr>
          </w:p>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名</w:t>
            </w:r>
            <w:r>
              <w:rPr>
                <w:rFonts w:ascii="宋体" w:hAnsi="宋体"/>
                <w:color w:val="auto"/>
                <w:spacing w:val="12"/>
                <w:kern w:val="2"/>
                <w:sz w:val="21"/>
                <w:szCs w:val="24"/>
                <w:highlight w:val="none"/>
              </w:rPr>
              <w:t xml:space="preserve">    </w:t>
            </w:r>
            <w:r>
              <w:rPr>
                <w:rFonts w:hint="eastAsia" w:ascii="宋体" w:hAnsi="宋体"/>
                <w:color w:val="auto"/>
                <w:spacing w:val="12"/>
                <w:kern w:val="2"/>
                <w:sz w:val="21"/>
                <w:szCs w:val="24"/>
                <w:highlight w:val="none"/>
              </w:rPr>
              <w:t>称</w:t>
            </w: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建设</w:t>
            </w:r>
          </w:p>
          <w:p>
            <w:pPr>
              <w:adjustRightInd/>
              <w:spacing w:line="540" w:lineRule="exact"/>
              <w:ind w:firstLine="0" w:firstLineChars="0"/>
              <w:jc w:val="both"/>
              <w:textAlignment w:val="auto"/>
              <w:rPr>
                <w:rFonts w:ascii="宋体"/>
                <w:color w:val="auto"/>
                <w:spacing w:val="12"/>
                <w:kern w:val="2"/>
                <w:sz w:val="21"/>
                <w:szCs w:val="24"/>
                <w:highlight w:val="none"/>
              </w:rPr>
            </w:pPr>
          </w:p>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规模</w:t>
            </w: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建筑面积</w:t>
            </w:r>
          </w:p>
          <w:p>
            <w:pPr>
              <w:adjustRightInd/>
              <w:spacing w:line="540" w:lineRule="exact"/>
              <w:ind w:firstLine="0" w:firstLineChars="0"/>
              <w:jc w:val="both"/>
              <w:textAlignment w:val="auto"/>
              <w:rPr>
                <w:rFonts w:ascii="宋体"/>
                <w:color w:val="auto"/>
                <w:spacing w:val="12"/>
                <w:kern w:val="2"/>
                <w:sz w:val="21"/>
                <w:szCs w:val="24"/>
                <w:highlight w:val="none"/>
              </w:rPr>
            </w:pPr>
          </w:p>
          <w:p>
            <w:pPr>
              <w:adjustRightInd/>
              <w:spacing w:line="540" w:lineRule="exact"/>
              <w:ind w:firstLine="0" w:firstLineChars="0"/>
              <w:jc w:val="both"/>
              <w:textAlignment w:val="auto"/>
              <w:rPr>
                <w:rFonts w:ascii="宋体" w:hAnsi="宋体"/>
                <w:color w:val="auto"/>
                <w:spacing w:val="12"/>
                <w:kern w:val="2"/>
                <w:sz w:val="21"/>
                <w:szCs w:val="24"/>
                <w:highlight w:val="none"/>
              </w:rPr>
            </w:pPr>
            <w:r>
              <w:rPr>
                <w:rFonts w:ascii="宋体" w:hAnsi="宋体"/>
                <w:color w:val="auto"/>
                <w:spacing w:val="12"/>
                <w:kern w:val="2"/>
                <w:sz w:val="21"/>
                <w:szCs w:val="24"/>
                <w:highlight w:val="none"/>
              </w:rPr>
              <w:t>(</w:t>
            </w:r>
            <w:r>
              <w:rPr>
                <w:rFonts w:hint="eastAsia" w:ascii="宋体" w:hAnsi="宋体"/>
                <w:color w:val="auto"/>
                <w:spacing w:val="12"/>
                <w:kern w:val="2"/>
                <w:sz w:val="21"/>
                <w:szCs w:val="24"/>
                <w:highlight w:val="none"/>
              </w:rPr>
              <w:t>平方米</w:t>
            </w:r>
            <w:r>
              <w:rPr>
                <w:rFonts w:ascii="宋体" w:hAnsi="宋体"/>
                <w:color w:val="auto"/>
                <w:spacing w:val="12"/>
                <w:kern w:val="2"/>
                <w:sz w:val="21"/>
                <w:szCs w:val="24"/>
                <w:highlight w:val="none"/>
              </w:rPr>
              <w:t>)</w:t>
            </w: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结</w:t>
            </w:r>
          </w:p>
          <w:p>
            <w:pPr>
              <w:adjustRightInd/>
              <w:spacing w:line="540" w:lineRule="exact"/>
              <w:ind w:firstLine="0" w:firstLineChars="0"/>
              <w:jc w:val="both"/>
              <w:textAlignment w:val="auto"/>
              <w:rPr>
                <w:rFonts w:ascii="宋体"/>
                <w:color w:val="auto"/>
                <w:spacing w:val="12"/>
                <w:kern w:val="2"/>
                <w:sz w:val="21"/>
                <w:szCs w:val="24"/>
                <w:highlight w:val="none"/>
              </w:rPr>
            </w:pPr>
          </w:p>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构</w:t>
            </w:r>
          </w:p>
        </w:tc>
        <w:tc>
          <w:tcPr>
            <w:tcW w:w="525" w:type="dxa"/>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层</w:t>
            </w:r>
          </w:p>
          <w:p>
            <w:pPr>
              <w:adjustRightInd/>
              <w:spacing w:line="540" w:lineRule="exact"/>
              <w:ind w:firstLine="0" w:firstLineChars="0"/>
              <w:jc w:val="center"/>
              <w:textAlignment w:val="auto"/>
              <w:rPr>
                <w:rFonts w:ascii="宋体"/>
                <w:color w:val="auto"/>
                <w:spacing w:val="12"/>
                <w:kern w:val="2"/>
                <w:sz w:val="21"/>
                <w:szCs w:val="24"/>
                <w:highlight w:val="none"/>
              </w:rPr>
            </w:pPr>
          </w:p>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数</w:t>
            </w:r>
          </w:p>
        </w:tc>
        <w:tc>
          <w:tcPr>
            <w:tcW w:w="735" w:type="dxa"/>
            <w:vAlign w:val="center"/>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跨</w:t>
            </w:r>
          </w:p>
          <w:p>
            <w:pPr>
              <w:adjustRightInd/>
              <w:spacing w:line="540" w:lineRule="exact"/>
              <w:ind w:firstLine="0" w:firstLineChars="0"/>
              <w:jc w:val="center"/>
              <w:textAlignment w:val="auto"/>
              <w:rPr>
                <w:rFonts w:ascii="宋体" w:hAnsi="宋体"/>
                <w:color w:val="auto"/>
                <w:spacing w:val="12"/>
                <w:kern w:val="2"/>
                <w:sz w:val="21"/>
                <w:szCs w:val="24"/>
                <w:highlight w:val="none"/>
              </w:rPr>
            </w:pPr>
            <w:r>
              <w:rPr>
                <w:rFonts w:hint="eastAsia" w:ascii="宋体" w:hAnsi="宋体"/>
                <w:color w:val="auto"/>
                <w:spacing w:val="12"/>
                <w:kern w:val="2"/>
                <w:sz w:val="21"/>
                <w:szCs w:val="24"/>
                <w:highlight w:val="none"/>
              </w:rPr>
              <w:t>度</w:t>
            </w:r>
            <w:r>
              <w:rPr>
                <w:rFonts w:ascii="宋体" w:hAnsi="宋体"/>
                <w:color w:val="auto"/>
                <w:spacing w:val="12"/>
                <w:kern w:val="2"/>
                <w:sz w:val="21"/>
                <w:szCs w:val="24"/>
                <w:highlight w:val="none"/>
              </w:rPr>
              <w:t>(</w:t>
            </w:r>
            <w:r>
              <w:rPr>
                <w:rFonts w:hint="eastAsia" w:ascii="宋体" w:hAnsi="宋体"/>
                <w:color w:val="auto"/>
                <w:spacing w:val="12"/>
                <w:kern w:val="2"/>
                <w:sz w:val="21"/>
                <w:szCs w:val="24"/>
                <w:highlight w:val="none"/>
              </w:rPr>
              <w:t>米</w:t>
            </w:r>
            <w:r>
              <w:rPr>
                <w:rFonts w:ascii="宋体" w:hAnsi="宋体"/>
                <w:color w:val="auto"/>
                <w:spacing w:val="12"/>
                <w:kern w:val="2"/>
                <w:sz w:val="21"/>
                <w:szCs w:val="24"/>
                <w:highlight w:val="none"/>
              </w:rPr>
              <w:t>)</w:t>
            </w:r>
          </w:p>
        </w:tc>
        <w:tc>
          <w:tcPr>
            <w:tcW w:w="1155" w:type="dxa"/>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设备安装</w:t>
            </w:r>
          </w:p>
          <w:p>
            <w:pPr>
              <w:adjustRightInd/>
              <w:spacing w:line="540" w:lineRule="exact"/>
              <w:ind w:firstLine="0" w:firstLineChars="0"/>
              <w:jc w:val="center"/>
              <w:textAlignment w:val="auto"/>
              <w:rPr>
                <w:rFonts w:ascii="宋体"/>
                <w:color w:val="auto"/>
                <w:spacing w:val="12"/>
                <w:kern w:val="2"/>
                <w:sz w:val="21"/>
                <w:szCs w:val="24"/>
                <w:highlight w:val="none"/>
              </w:rPr>
            </w:pPr>
          </w:p>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内</w:t>
            </w:r>
            <w:r>
              <w:rPr>
                <w:rFonts w:ascii="宋体" w:hAnsi="宋体"/>
                <w:color w:val="auto"/>
                <w:spacing w:val="12"/>
                <w:kern w:val="2"/>
                <w:sz w:val="21"/>
                <w:szCs w:val="24"/>
                <w:highlight w:val="none"/>
              </w:rPr>
              <w:t xml:space="preserve">   </w:t>
            </w:r>
            <w:r>
              <w:rPr>
                <w:rFonts w:hint="eastAsia" w:ascii="宋体" w:hAnsi="宋体"/>
                <w:color w:val="auto"/>
                <w:spacing w:val="12"/>
                <w:kern w:val="2"/>
                <w:sz w:val="21"/>
                <w:szCs w:val="24"/>
                <w:highlight w:val="none"/>
              </w:rPr>
              <w:t>容</w:t>
            </w:r>
          </w:p>
        </w:tc>
        <w:tc>
          <w:tcPr>
            <w:tcW w:w="735" w:type="dxa"/>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工程造价</w:t>
            </w:r>
          </w:p>
          <w:p>
            <w:pPr>
              <w:adjustRightInd/>
              <w:spacing w:line="540" w:lineRule="exact"/>
              <w:ind w:firstLine="0" w:firstLineChars="0"/>
              <w:jc w:val="center"/>
              <w:textAlignment w:val="auto"/>
              <w:rPr>
                <w:rFonts w:ascii="宋体" w:hAnsi="宋体"/>
                <w:color w:val="auto"/>
                <w:spacing w:val="12"/>
                <w:kern w:val="2"/>
                <w:sz w:val="21"/>
                <w:szCs w:val="24"/>
                <w:highlight w:val="none"/>
              </w:rPr>
            </w:pPr>
            <w:r>
              <w:rPr>
                <w:rFonts w:ascii="宋体" w:hAnsi="宋体"/>
                <w:color w:val="auto"/>
                <w:spacing w:val="12"/>
                <w:kern w:val="2"/>
                <w:sz w:val="21"/>
                <w:szCs w:val="24"/>
                <w:highlight w:val="none"/>
              </w:rPr>
              <w:t>(</w:t>
            </w:r>
            <w:r>
              <w:rPr>
                <w:rFonts w:hint="eastAsia" w:ascii="宋体" w:hAnsi="宋体"/>
                <w:color w:val="auto"/>
                <w:spacing w:val="12"/>
                <w:kern w:val="2"/>
                <w:sz w:val="21"/>
                <w:szCs w:val="24"/>
                <w:highlight w:val="none"/>
              </w:rPr>
              <w:t>元</w:t>
            </w:r>
            <w:r>
              <w:rPr>
                <w:rFonts w:ascii="宋体" w:hAnsi="宋体"/>
                <w:color w:val="auto"/>
                <w:spacing w:val="12"/>
                <w:kern w:val="2"/>
                <w:sz w:val="21"/>
                <w:szCs w:val="24"/>
                <w:highlight w:val="none"/>
              </w:rPr>
              <w:t>)</w:t>
            </w: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开工</w:t>
            </w:r>
          </w:p>
          <w:p>
            <w:pPr>
              <w:adjustRightInd/>
              <w:spacing w:line="540" w:lineRule="exact"/>
              <w:ind w:firstLine="0" w:firstLineChars="0"/>
              <w:jc w:val="both"/>
              <w:textAlignment w:val="auto"/>
              <w:rPr>
                <w:rFonts w:ascii="宋体"/>
                <w:color w:val="auto"/>
                <w:spacing w:val="12"/>
                <w:kern w:val="2"/>
                <w:sz w:val="21"/>
                <w:szCs w:val="24"/>
                <w:highlight w:val="none"/>
              </w:rPr>
            </w:pPr>
          </w:p>
          <w:p>
            <w:pPr>
              <w:adjustRightInd/>
              <w:spacing w:line="540" w:lineRule="exact"/>
              <w:ind w:firstLine="0" w:firstLineChars="0"/>
              <w:jc w:val="both"/>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日期</w:t>
            </w:r>
          </w:p>
        </w:tc>
        <w:tc>
          <w:tcPr>
            <w:tcW w:w="735" w:type="dxa"/>
          </w:tcPr>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竣工</w:t>
            </w:r>
          </w:p>
          <w:p>
            <w:pPr>
              <w:adjustRightInd/>
              <w:spacing w:line="540" w:lineRule="exact"/>
              <w:ind w:firstLine="0" w:firstLineChars="0"/>
              <w:jc w:val="center"/>
              <w:textAlignment w:val="auto"/>
              <w:rPr>
                <w:rFonts w:ascii="宋体"/>
                <w:color w:val="auto"/>
                <w:spacing w:val="12"/>
                <w:kern w:val="2"/>
                <w:sz w:val="21"/>
                <w:szCs w:val="24"/>
                <w:highlight w:val="none"/>
              </w:rPr>
            </w:pPr>
          </w:p>
          <w:p>
            <w:pPr>
              <w:adjustRightInd/>
              <w:spacing w:line="540" w:lineRule="exact"/>
              <w:ind w:firstLine="0" w:firstLineChars="0"/>
              <w:jc w:val="center"/>
              <w:textAlignment w:val="auto"/>
              <w:rPr>
                <w:rFonts w:ascii="宋体"/>
                <w:color w:val="auto"/>
                <w:spacing w:val="12"/>
                <w:kern w:val="2"/>
                <w:sz w:val="21"/>
                <w:szCs w:val="24"/>
                <w:highlight w:val="none"/>
              </w:rPr>
            </w:pPr>
            <w:r>
              <w:rPr>
                <w:rFonts w:hint="eastAsia" w:ascii="宋体" w:hAnsi="宋体"/>
                <w:color w:val="auto"/>
                <w:spacing w:val="12"/>
                <w:kern w:val="2"/>
                <w:sz w:val="21"/>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691" w:type="dxa"/>
          </w:tcPr>
          <w:p>
            <w:pPr>
              <w:adjustRightInd/>
              <w:spacing w:line="540" w:lineRule="exact"/>
              <w:ind w:firstLine="0" w:firstLineChars="0"/>
              <w:jc w:val="both"/>
              <w:textAlignment w:val="auto"/>
              <w:rPr>
                <w:rFonts w:ascii="宋体"/>
                <w:color w:val="auto"/>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91"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52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115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c>
          <w:tcPr>
            <w:tcW w:w="735" w:type="dxa"/>
          </w:tcPr>
          <w:p>
            <w:pPr>
              <w:adjustRightInd/>
              <w:spacing w:line="540" w:lineRule="exact"/>
              <w:ind w:firstLine="0" w:firstLineChars="0"/>
              <w:jc w:val="both"/>
              <w:textAlignment w:val="auto"/>
              <w:rPr>
                <w:rFonts w:ascii="宋体"/>
                <w:color w:val="auto"/>
                <w:spacing w:val="12"/>
                <w:kern w:val="2"/>
                <w:sz w:val="21"/>
                <w:szCs w:val="24"/>
                <w:highlight w:val="none"/>
              </w:rPr>
            </w:pPr>
          </w:p>
        </w:tc>
      </w:tr>
    </w:tbl>
    <w:p>
      <w:pPr>
        <w:keepNext/>
        <w:keepLines/>
        <w:adjustRightInd/>
        <w:spacing w:beforeLines="50" w:afterLines="50"/>
        <w:ind w:firstLine="0" w:firstLineChars="0"/>
        <w:jc w:val="both"/>
        <w:textAlignment w:val="auto"/>
        <w:outlineLvl w:val="0"/>
        <w:rPr>
          <w:rFonts w:ascii="宋体" w:hAnsi="Cambria"/>
          <w:b/>
          <w:bCs/>
          <w:color w:val="auto"/>
          <w:kern w:val="2"/>
          <w:sz w:val="32"/>
          <w:szCs w:val="21"/>
          <w:highlight w:val="none"/>
        </w:rPr>
        <w:sectPr>
          <w:pgSz w:w="11906" w:h="16838"/>
          <w:pgMar w:top="1440" w:right="1797" w:bottom="1440" w:left="1797" w:header="851" w:footer="992" w:gutter="0"/>
          <w:cols w:space="425" w:num="1"/>
          <w:docGrid w:linePitch="312" w:charSpace="0"/>
        </w:sectPr>
      </w:pPr>
    </w:p>
    <w:p>
      <w:pPr>
        <w:keepNext/>
        <w:keepLines/>
        <w:adjustRightInd/>
        <w:spacing w:beforeLines="50" w:afterLines="50"/>
        <w:ind w:firstLine="0" w:firstLineChars="0"/>
        <w:jc w:val="both"/>
        <w:textAlignment w:val="auto"/>
        <w:outlineLvl w:val="1"/>
        <w:rPr>
          <w:rFonts w:ascii="宋体" w:hAnsi="宋体"/>
          <w:color w:val="auto"/>
          <w:highlight w:val="none"/>
        </w:rPr>
      </w:pPr>
      <w:bookmarkStart w:id="863" w:name="_Toc489280261"/>
      <w:bookmarkStart w:id="864" w:name="_Toc486580455"/>
      <w:bookmarkStart w:id="865" w:name="_Toc485323229"/>
      <w:bookmarkStart w:id="866" w:name="_Toc497214123"/>
      <w:bookmarkStart w:id="867" w:name="_Toc497584114"/>
      <w:bookmarkStart w:id="868" w:name="_Toc518556712"/>
      <w:bookmarkStart w:id="869" w:name="_Toc518557108"/>
      <w:bookmarkStart w:id="870" w:name="_Toc518557359"/>
      <w:r>
        <w:rPr>
          <w:rFonts w:hint="eastAsia" w:ascii="宋体" w:hAnsi="宋体"/>
          <w:color w:val="auto"/>
          <w:highlight w:val="none"/>
        </w:rPr>
        <w:t>附件三：承包人提供的材料和工程设备一览表</w:t>
      </w:r>
      <w:bookmarkEnd w:id="863"/>
      <w:bookmarkEnd w:id="864"/>
      <w:bookmarkEnd w:id="865"/>
      <w:bookmarkEnd w:id="866"/>
      <w:bookmarkEnd w:id="867"/>
      <w:bookmarkEnd w:id="868"/>
      <w:bookmarkEnd w:id="869"/>
      <w:bookmarkEnd w:id="870"/>
    </w:p>
    <w:p>
      <w:pPr>
        <w:adjustRightInd/>
        <w:ind w:firstLine="0" w:firstLineChars="0"/>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承包人提供的材料和工程设备一览表</w:t>
      </w:r>
    </w:p>
    <w:tbl>
      <w:tblPr>
        <w:tblStyle w:val="47"/>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48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序</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号</w:t>
            </w:r>
          </w:p>
        </w:tc>
        <w:tc>
          <w:tcPr>
            <w:tcW w:w="115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材料设备</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名</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称</w:t>
            </w:r>
          </w:p>
        </w:tc>
        <w:tc>
          <w:tcPr>
            <w:tcW w:w="105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规格</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型号</w:t>
            </w:r>
          </w:p>
        </w:tc>
        <w:tc>
          <w:tcPr>
            <w:tcW w:w="63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单</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位</w:t>
            </w:r>
          </w:p>
        </w:tc>
        <w:tc>
          <w:tcPr>
            <w:tcW w:w="52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数</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量</w:t>
            </w:r>
          </w:p>
        </w:tc>
        <w:tc>
          <w:tcPr>
            <w:tcW w:w="73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单</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价</w:t>
            </w:r>
          </w:p>
        </w:tc>
        <w:tc>
          <w:tcPr>
            <w:tcW w:w="84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方式</w:t>
            </w:r>
          </w:p>
        </w:tc>
        <w:tc>
          <w:tcPr>
            <w:tcW w:w="84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地点</w:t>
            </w:r>
          </w:p>
        </w:tc>
        <w:tc>
          <w:tcPr>
            <w:tcW w:w="73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计划交货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时间</w:t>
            </w:r>
          </w:p>
        </w:tc>
        <w:tc>
          <w:tcPr>
            <w:tcW w:w="94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bl>
    <w:p>
      <w:pPr>
        <w:keepNext/>
        <w:keepLines/>
        <w:adjustRightInd/>
        <w:spacing w:beforeLines="50" w:afterLines="50"/>
        <w:ind w:firstLine="0" w:firstLineChars="0"/>
        <w:jc w:val="both"/>
        <w:textAlignment w:val="auto"/>
        <w:outlineLvl w:val="1"/>
        <w:rPr>
          <w:rFonts w:ascii="宋体" w:hAnsi="宋体"/>
          <w:color w:val="auto"/>
          <w:highlight w:val="none"/>
        </w:rPr>
      </w:pPr>
      <w:r>
        <w:rPr>
          <w:rFonts w:ascii="宋体" w:hAnsi="宋体" w:cs="Arial"/>
          <w:color w:val="auto"/>
          <w:highlight w:val="none"/>
        </w:rPr>
        <w:br w:type="page"/>
      </w:r>
      <w:bookmarkStart w:id="871" w:name="_Toc518556713"/>
      <w:bookmarkStart w:id="872" w:name="_Toc497584115"/>
      <w:bookmarkStart w:id="873" w:name="_Toc497214124"/>
      <w:bookmarkStart w:id="874" w:name="_Toc489280262"/>
      <w:bookmarkStart w:id="875" w:name="_Toc486580456"/>
      <w:bookmarkStart w:id="876" w:name="_Toc485323230"/>
      <w:bookmarkStart w:id="877" w:name="_Toc518557109"/>
      <w:bookmarkStart w:id="878" w:name="_Toc518557360"/>
      <w:r>
        <w:rPr>
          <w:rFonts w:hint="eastAsia" w:ascii="宋体" w:hAnsi="宋体"/>
          <w:color w:val="auto"/>
          <w:highlight w:val="none"/>
        </w:rPr>
        <w:t>附件四：发包人提供的材料和工程设备一览表</w:t>
      </w:r>
      <w:bookmarkEnd w:id="871"/>
      <w:bookmarkEnd w:id="872"/>
      <w:bookmarkEnd w:id="873"/>
      <w:bookmarkEnd w:id="874"/>
      <w:bookmarkEnd w:id="875"/>
      <w:bookmarkEnd w:id="876"/>
      <w:bookmarkEnd w:id="877"/>
      <w:bookmarkEnd w:id="878"/>
    </w:p>
    <w:p>
      <w:pPr>
        <w:adjustRightInd/>
        <w:ind w:firstLine="0" w:firstLineChars="0"/>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发包人提供的材料和工程设备一览表</w:t>
      </w:r>
    </w:p>
    <w:tbl>
      <w:tblPr>
        <w:tblStyle w:val="47"/>
        <w:tblW w:w="7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5"/>
        <w:gridCol w:w="1050"/>
        <w:gridCol w:w="630"/>
        <w:gridCol w:w="525"/>
        <w:gridCol w:w="735"/>
        <w:gridCol w:w="840"/>
        <w:gridCol w:w="840"/>
        <w:gridCol w:w="73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48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序</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号</w:t>
            </w:r>
          </w:p>
        </w:tc>
        <w:tc>
          <w:tcPr>
            <w:tcW w:w="115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材料设备</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名</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称</w:t>
            </w:r>
          </w:p>
        </w:tc>
        <w:tc>
          <w:tcPr>
            <w:tcW w:w="105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规格</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型号</w:t>
            </w:r>
          </w:p>
        </w:tc>
        <w:tc>
          <w:tcPr>
            <w:tcW w:w="63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单</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位</w:t>
            </w:r>
          </w:p>
        </w:tc>
        <w:tc>
          <w:tcPr>
            <w:tcW w:w="52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数</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量</w:t>
            </w:r>
          </w:p>
        </w:tc>
        <w:tc>
          <w:tcPr>
            <w:tcW w:w="73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单</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价</w:t>
            </w:r>
          </w:p>
        </w:tc>
        <w:tc>
          <w:tcPr>
            <w:tcW w:w="84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方式</w:t>
            </w:r>
          </w:p>
        </w:tc>
        <w:tc>
          <w:tcPr>
            <w:tcW w:w="840"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地点</w:t>
            </w:r>
          </w:p>
        </w:tc>
        <w:tc>
          <w:tcPr>
            <w:tcW w:w="73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计划交货</w:t>
            </w:r>
          </w:p>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时间</w:t>
            </w:r>
          </w:p>
        </w:tc>
        <w:tc>
          <w:tcPr>
            <w:tcW w:w="945" w:type="dxa"/>
            <w:vAlign w:val="center"/>
          </w:tcPr>
          <w:p>
            <w:pPr>
              <w:adjustRightInd/>
              <w:ind w:firstLine="0" w:firstLineChars="0"/>
              <w:jc w:val="center"/>
              <w:textAlignment w:val="auto"/>
              <w:rPr>
                <w:rFonts w:ascii="宋体"/>
                <w:color w:val="auto"/>
                <w:kern w:val="2"/>
                <w:sz w:val="21"/>
                <w:szCs w:val="24"/>
                <w:highlight w:val="none"/>
              </w:rPr>
            </w:pPr>
            <w:r>
              <w:rPr>
                <w:rFonts w:hint="eastAsia" w:ascii="宋体" w:hAnsi="宋体"/>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tcPr>
          <w:p>
            <w:pPr>
              <w:adjustRightInd/>
              <w:ind w:firstLine="0" w:firstLineChars="0"/>
              <w:jc w:val="center"/>
              <w:textAlignment w:val="auto"/>
              <w:rPr>
                <w:rFonts w:ascii="宋体"/>
                <w:color w:val="auto"/>
                <w:kern w:val="2"/>
                <w:sz w:val="28"/>
                <w:szCs w:val="28"/>
                <w:highlight w:val="none"/>
              </w:rPr>
            </w:pPr>
          </w:p>
        </w:tc>
        <w:tc>
          <w:tcPr>
            <w:tcW w:w="1155" w:type="dxa"/>
          </w:tcPr>
          <w:p>
            <w:pPr>
              <w:adjustRightInd/>
              <w:ind w:firstLine="0" w:firstLineChars="0"/>
              <w:jc w:val="center"/>
              <w:textAlignment w:val="auto"/>
              <w:rPr>
                <w:rFonts w:ascii="宋体"/>
                <w:color w:val="auto"/>
                <w:kern w:val="2"/>
                <w:sz w:val="28"/>
                <w:szCs w:val="28"/>
                <w:highlight w:val="none"/>
              </w:rPr>
            </w:pPr>
          </w:p>
        </w:tc>
        <w:tc>
          <w:tcPr>
            <w:tcW w:w="1050" w:type="dxa"/>
          </w:tcPr>
          <w:p>
            <w:pPr>
              <w:adjustRightInd/>
              <w:ind w:firstLine="0" w:firstLineChars="0"/>
              <w:jc w:val="center"/>
              <w:textAlignment w:val="auto"/>
              <w:rPr>
                <w:rFonts w:ascii="宋体"/>
                <w:color w:val="auto"/>
                <w:kern w:val="2"/>
                <w:sz w:val="28"/>
                <w:szCs w:val="28"/>
                <w:highlight w:val="none"/>
              </w:rPr>
            </w:pPr>
          </w:p>
        </w:tc>
        <w:tc>
          <w:tcPr>
            <w:tcW w:w="630" w:type="dxa"/>
          </w:tcPr>
          <w:p>
            <w:pPr>
              <w:adjustRightInd/>
              <w:ind w:firstLine="0" w:firstLineChars="0"/>
              <w:jc w:val="center"/>
              <w:textAlignment w:val="auto"/>
              <w:rPr>
                <w:rFonts w:ascii="宋体"/>
                <w:color w:val="auto"/>
                <w:kern w:val="2"/>
                <w:sz w:val="28"/>
                <w:szCs w:val="28"/>
                <w:highlight w:val="none"/>
              </w:rPr>
            </w:pPr>
          </w:p>
        </w:tc>
        <w:tc>
          <w:tcPr>
            <w:tcW w:w="525"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840" w:type="dxa"/>
          </w:tcPr>
          <w:p>
            <w:pPr>
              <w:adjustRightInd/>
              <w:ind w:firstLine="0" w:firstLineChars="0"/>
              <w:jc w:val="center"/>
              <w:textAlignment w:val="auto"/>
              <w:rPr>
                <w:rFonts w:ascii="宋体"/>
                <w:color w:val="auto"/>
                <w:kern w:val="2"/>
                <w:sz w:val="28"/>
                <w:szCs w:val="28"/>
                <w:highlight w:val="none"/>
              </w:rPr>
            </w:pPr>
          </w:p>
        </w:tc>
        <w:tc>
          <w:tcPr>
            <w:tcW w:w="735" w:type="dxa"/>
          </w:tcPr>
          <w:p>
            <w:pPr>
              <w:adjustRightInd/>
              <w:ind w:firstLine="0" w:firstLineChars="0"/>
              <w:jc w:val="center"/>
              <w:textAlignment w:val="auto"/>
              <w:rPr>
                <w:rFonts w:ascii="宋体"/>
                <w:color w:val="auto"/>
                <w:kern w:val="2"/>
                <w:sz w:val="28"/>
                <w:szCs w:val="28"/>
                <w:highlight w:val="none"/>
              </w:rPr>
            </w:pPr>
          </w:p>
        </w:tc>
        <w:tc>
          <w:tcPr>
            <w:tcW w:w="945" w:type="dxa"/>
          </w:tcPr>
          <w:p>
            <w:pPr>
              <w:adjustRightInd/>
              <w:ind w:firstLine="0" w:firstLineChars="0"/>
              <w:jc w:val="center"/>
              <w:textAlignment w:val="auto"/>
              <w:rPr>
                <w:rFonts w:ascii="宋体"/>
                <w:color w:val="auto"/>
                <w:kern w:val="2"/>
                <w:sz w:val="28"/>
                <w:szCs w:val="28"/>
                <w:highlight w:val="none"/>
              </w:rPr>
            </w:pPr>
          </w:p>
        </w:tc>
      </w:tr>
    </w:tbl>
    <w:p>
      <w:pPr>
        <w:tabs>
          <w:tab w:val="left" w:pos="1440"/>
        </w:tabs>
        <w:adjustRightInd/>
        <w:ind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备注：除合同另有约定外，本表所列发包人供应材料和工程设备的数量不考虑施工损耗，施工损耗被认为已经包括在承包人的投标价格中。</w:t>
      </w:r>
    </w:p>
    <w:p>
      <w:pPr>
        <w:keepNext/>
        <w:keepLines/>
        <w:adjustRightInd/>
        <w:spacing w:beforeLines="50" w:afterLines="50"/>
        <w:ind w:firstLine="0" w:firstLineChars="0"/>
        <w:jc w:val="both"/>
        <w:textAlignment w:val="auto"/>
        <w:outlineLvl w:val="1"/>
        <w:rPr>
          <w:rFonts w:ascii="宋体" w:hAnsi="宋体"/>
          <w:color w:val="auto"/>
          <w:highlight w:val="none"/>
        </w:rPr>
      </w:pPr>
      <w:r>
        <w:rPr>
          <w:rFonts w:ascii="宋体" w:hAnsi="宋体"/>
          <w:color w:val="auto"/>
          <w:highlight w:val="none"/>
        </w:rPr>
        <w:br w:type="page"/>
      </w:r>
      <w:bookmarkStart w:id="879" w:name="_Toc518556714"/>
      <w:bookmarkStart w:id="880" w:name="_Toc497584116"/>
      <w:bookmarkStart w:id="881" w:name="_Toc497214125"/>
      <w:bookmarkStart w:id="882" w:name="_Toc489280263"/>
      <w:bookmarkStart w:id="883" w:name="_Toc485323231"/>
      <w:bookmarkStart w:id="884" w:name="_Toc486580457"/>
      <w:bookmarkStart w:id="885" w:name="_Toc518557110"/>
      <w:bookmarkStart w:id="886" w:name="_Toc518557361"/>
      <w:r>
        <w:rPr>
          <w:rFonts w:hint="eastAsia" w:ascii="宋体" w:hAnsi="宋体"/>
          <w:color w:val="auto"/>
          <w:highlight w:val="none"/>
        </w:rPr>
        <w:t>附件五：承包人履约担保格式</w:t>
      </w:r>
      <w:bookmarkEnd w:id="879"/>
      <w:bookmarkEnd w:id="880"/>
      <w:bookmarkEnd w:id="881"/>
      <w:bookmarkEnd w:id="882"/>
      <w:bookmarkEnd w:id="883"/>
      <w:bookmarkEnd w:id="884"/>
      <w:bookmarkEnd w:id="885"/>
      <w:bookmarkEnd w:id="886"/>
    </w:p>
    <w:p>
      <w:pPr>
        <w:adjustRightInd/>
        <w:ind w:firstLine="0" w:firstLineChars="0"/>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承包人履约保函</w:t>
      </w:r>
    </w:p>
    <w:p>
      <w:pPr>
        <w:adjustRightInd/>
        <w:ind w:firstLine="0" w:firstLineChars="0"/>
        <w:jc w:val="center"/>
        <w:textAlignment w:val="auto"/>
        <w:rPr>
          <w:rFonts w:ascii="宋体"/>
          <w:color w:val="auto"/>
          <w:kern w:val="2"/>
          <w:sz w:val="21"/>
          <w:szCs w:val="24"/>
          <w:highlight w:val="none"/>
          <w:u w:val="single"/>
        </w:rPr>
      </w:pPr>
    </w:p>
    <w:p>
      <w:pPr>
        <w:adjustRightInd/>
        <w:ind w:firstLine="0" w:firstLineChars="0"/>
        <w:jc w:val="both"/>
        <w:textAlignment w:val="auto"/>
        <w:rPr>
          <w:rFonts w:ascii="宋体"/>
          <w:color w:val="auto"/>
          <w:kern w:val="2"/>
          <w:sz w:val="21"/>
          <w:szCs w:val="24"/>
          <w:highlight w:val="none"/>
        </w:rPr>
      </w:pP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（发包人名称）：</w:t>
      </w:r>
    </w:p>
    <w:p>
      <w:pPr>
        <w:adjustRightInd/>
        <w:ind w:firstLine="0" w:firstLineChars="0"/>
        <w:jc w:val="both"/>
        <w:textAlignment w:val="auto"/>
        <w:rPr>
          <w:rFonts w:ascii="宋体"/>
          <w:color w:val="auto"/>
          <w:kern w:val="2"/>
          <w:sz w:val="21"/>
          <w:szCs w:val="24"/>
          <w:highlight w:val="none"/>
        </w:rPr>
      </w:pPr>
    </w:p>
    <w:p>
      <w:pPr>
        <w:adjustRightInd/>
        <w:ind w:firstLine="420"/>
        <w:jc w:val="both"/>
        <w:textAlignment w:val="auto"/>
        <w:rPr>
          <w:rFonts w:ascii="宋体" w:hAnsi="宋体"/>
          <w:color w:val="auto"/>
          <w:kern w:val="2"/>
          <w:sz w:val="21"/>
          <w:szCs w:val="21"/>
          <w:highlight w:val="none"/>
        </w:rPr>
      </w:pPr>
      <w:r>
        <w:rPr>
          <w:rFonts w:hint="eastAsia" w:ascii="宋体" w:hAnsi="宋体" w:cs="Arial"/>
          <w:color w:val="auto"/>
          <w:kern w:val="2"/>
          <w:sz w:val="21"/>
          <w:szCs w:val="21"/>
          <w:highlight w:val="none"/>
        </w:rPr>
        <w:t>鉴于你方作为发包人已经与</w:t>
      </w:r>
      <w:r>
        <w:rPr>
          <w:rFonts w:ascii="宋体" w:hAnsi="宋体" w:cs="Arial"/>
          <w:color w:val="auto"/>
          <w:kern w:val="2"/>
          <w:sz w:val="21"/>
          <w:szCs w:val="21"/>
          <w:highlight w:val="none"/>
          <w:u w:val="single"/>
        </w:rPr>
        <w:t xml:space="preserve">                 </w:t>
      </w:r>
      <w:r>
        <w:rPr>
          <w:rFonts w:hint="eastAsia" w:ascii="宋体" w:hAnsi="宋体" w:cs="Arial"/>
          <w:color w:val="auto"/>
          <w:kern w:val="2"/>
          <w:sz w:val="21"/>
          <w:szCs w:val="21"/>
          <w:highlight w:val="none"/>
        </w:rPr>
        <w:t>（承包人名称）（以下称“承包人”</w:t>
      </w:r>
      <w:r>
        <w:rPr>
          <w:rFonts w:hint="eastAsia" w:ascii="宋体" w:hAnsi="宋体"/>
          <w:color w:val="auto"/>
          <w:kern w:val="2"/>
          <w:sz w:val="21"/>
          <w:szCs w:val="21"/>
          <w:highlight w:val="none"/>
        </w:rPr>
        <w:t>）于</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p>
    <w:p>
      <w:pPr>
        <w:adjustRightInd/>
        <w:ind w:firstLine="0" w:firstLineChars="0"/>
        <w:jc w:val="both"/>
        <w:textAlignment w:val="auto"/>
        <w:rPr>
          <w:rFonts w:ascii="宋体"/>
          <w:color w:val="auto"/>
          <w:kern w:val="2"/>
          <w:sz w:val="21"/>
          <w:szCs w:val="24"/>
          <w:highlight w:val="none"/>
        </w:rPr>
      </w:pP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日签订了</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（工程名称）施工承包合同（以下称“主合同”），</w:t>
      </w:r>
      <w:r>
        <w:rPr>
          <w:rFonts w:hint="eastAsia" w:ascii="宋体" w:hAnsi="宋体"/>
          <w:color w:val="auto"/>
          <w:kern w:val="2"/>
          <w:sz w:val="21"/>
          <w:szCs w:val="24"/>
          <w:highlight w:val="none"/>
        </w:rPr>
        <w:t>应承包人申请，我方愿就承包人履行主合同约定的义务以保证的方式向你方提供如下担保：</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一、保证的范围及保证金额</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我方的保证范围是承包人未按照主合同的约定履行义务，给你方造成的实际损失。</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我方保证的金额是主合同约定的合同总价款</w:t>
      </w:r>
      <w:r>
        <w:rPr>
          <w:rFonts w:ascii="宋体" w:hAnsi="宋体"/>
          <w:color w:val="auto"/>
          <w:kern w:val="2"/>
          <w:sz w:val="21"/>
          <w:szCs w:val="24"/>
          <w:highlight w:val="none"/>
        </w:rPr>
        <w:t xml:space="preserve"> </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w:t>
      </w:r>
      <w:r>
        <w:rPr>
          <w:rFonts w:hint="eastAsia" w:ascii="宋体" w:hAnsi="宋体"/>
          <w:color w:val="auto"/>
          <w:kern w:val="2"/>
          <w:sz w:val="21"/>
          <w:szCs w:val="24"/>
          <w:highlight w:val="none"/>
        </w:rPr>
        <w:t>，数额最高不超过人民币</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元（大写）。</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二、保证的方式及保证期间</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我方保证的方式为：连带责任保证。</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我方保证的期间为：自本合同生效之日起至主合同约定的工程竣工日期后</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日内。</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你方与承包人协议变更工程竣工日期的，经我方书面同意后，保证期间按照变更后的竣工日期做相应调整。</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三、承担保证责任的形式</w:t>
      </w:r>
    </w:p>
    <w:p>
      <w:pPr>
        <w:adjustRightInd/>
        <w:ind w:firstLine="420"/>
        <w:jc w:val="both"/>
        <w:textAlignment w:val="auto"/>
        <w:rPr>
          <w:rFonts w:ascii="宋体"/>
          <w:color w:val="auto"/>
          <w:kern w:val="2"/>
          <w:sz w:val="21"/>
          <w:szCs w:val="24"/>
          <w:highlight w:val="none"/>
          <w:shd w:val="pct10" w:color="auto" w:fill="FFFFFF"/>
        </w:rPr>
      </w:pPr>
      <w:r>
        <w:rPr>
          <w:rFonts w:hint="eastAsia" w:ascii="宋体" w:hAnsi="宋体"/>
          <w:color w:val="auto"/>
          <w:kern w:val="2"/>
          <w:sz w:val="21"/>
          <w:szCs w:val="24"/>
          <w:highlight w:val="none"/>
        </w:rPr>
        <w:t>我方按照你方的要求以下列方式之一承担保证责任：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w:t>
      </w:r>
      <w:r>
        <w:rPr>
          <w:rFonts w:ascii="宋体" w:hAnsi="宋体"/>
          <w:color w:val="auto"/>
          <w:kern w:val="2"/>
          <w:sz w:val="21"/>
          <w:szCs w:val="24"/>
          <w:highlight w:val="none"/>
        </w:rPr>
        <w:t>1</w:t>
      </w:r>
      <w:r>
        <w:rPr>
          <w:rFonts w:hint="eastAsia" w:ascii="宋体" w:hAnsi="宋体"/>
          <w:color w:val="auto"/>
          <w:kern w:val="2"/>
          <w:sz w:val="21"/>
          <w:szCs w:val="24"/>
          <w:highlight w:val="none"/>
        </w:rPr>
        <w:t>）由我方提供资金及技术援助，使承包人继续履行主合同义务，支付金额不超过本保函第一条规定的保证金额。</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w:t>
      </w:r>
      <w:r>
        <w:rPr>
          <w:rFonts w:ascii="宋体" w:hAnsi="宋体"/>
          <w:color w:val="auto"/>
          <w:kern w:val="2"/>
          <w:sz w:val="21"/>
          <w:szCs w:val="24"/>
          <w:highlight w:val="none"/>
        </w:rPr>
        <w:t>2</w:t>
      </w:r>
      <w:r>
        <w:rPr>
          <w:rFonts w:hint="eastAsia" w:ascii="宋体" w:hAnsi="宋体"/>
          <w:color w:val="auto"/>
          <w:kern w:val="2"/>
          <w:sz w:val="21"/>
          <w:szCs w:val="24"/>
          <w:highlight w:val="none"/>
        </w:rPr>
        <w:t>）由我方在本保函第一条规定的保证金额内赔偿你方的损失。</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四、代偿的安排</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你方以工程质量不符合主合同约定标准为由，向我方提出违约索赔的，还需同时提供符合相应条件要求的工程质量检测部门出具的质量说明材料。</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我方收到你方的书面索赔通知及相应证明材料后，在</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工作日内进行核定后按照本保函的承诺承担保证责任。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五、保证责任的解除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、在本保函承诺的保证期间内，你方未书面向我方主张保证责任的，自保证期间届满次日起，我方保证责任解除。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、承包人按主合同约定履行了义务的，自本保函承诺的保证期间届满次日起，我方保证责任解除。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、我方按照本保函向你方履行保证责任所支付的金额达到本保函保证金额时，自我方向你方支付（支付款项从我方帐户划出）之日起，保证责任即解除。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、按照法律法规的规定或出现应解除我方保证责任的其它情形的，我方在本保函项下的保证责任亦解除。</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我方解除保证责任后，你方应自我方保证责任解除之日起</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个工作日内，将本保函原件返还我方。</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六、免责条款</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、因你方违约致使承包人不能履行义务的，我方不承担保证责任。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、依照法律法规的规定或你方与承包人的另行约定，免除承包人部分或全部义务的，我方亦免除其相应的保证责任。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、你方与承包人协议变更主合同（符合主合同合同条款第</w:t>
      </w:r>
      <w:r>
        <w:rPr>
          <w:rFonts w:ascii="宋体" w:hAnsi="宋体"/>
          <w:color w:val="auto"/>
          <w:kern w:val="2"/>
          <w:sz w:val="21"/>
          <w:szCs w:val="24"/>
          <w:highlight w:val="none"/>
        </w:rPr>
        <w:t>15</w:t>
      </w:r>
      <w:r>
        <w:rPr>
          <w:rFonts w:hint="eastAsia" w:ascii="宋体" w:hAnsi="宋体"/>
          <w:color w:val="auto"/>
          <w:kern w:val="2"/>
          <w:sz w:val="21"/>
          <w:szCs w:val="24"/>
          <w:highlight w:val="none"/>
        </w:rPr>
        <w:t>条约定的变更除外），如加重承包人责任致使我方保证责任加重的，需征得我方书面同意，否则我方不再承担因此而加重部分的保证责任。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、因不可抗力造成承包人不能履行义务的，我方不承担保证责任。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七、争议的解决</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因本保函发生的纠纷，由贵我双方协商解决，协商不成的，任何一方均可提请</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仲裁委员会仲裁。</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八、保函的生效</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本保函自我方法定代表人（或其授权代理人）签字或加盖公章并交付你方之日起生效。</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本条所称交付是指：</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w:t>
      </w:r>
    </w:p>
    <w:p>
      <w:pPr>
        <w:adjustRightInd/>
        <w:ind w:firstLine="0" w:firstLineChars="0"/>
        <w:jc w:val="both"/>
        <w:textAlignment w:val="auto"/>
        <w:rPr>
          <w:rFonts w:ascii="宋体"/>
          <w:color w:val="auto"/>
          <w:kern w:val="2"/>
          <w:sz w:val="21"/>
          <w:szCs w:val="24"/>
          <w:highlight w:val="none"/>
        </w:rPr>
      </w:pP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担保人：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法定代表人或其委托代理人：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（签字）</w:t>
      </w: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地</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址：</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hAnsi="宋体"/>
          <w:color w:val="auto"/>
          <w:kern w:val="2"/>
          <w:sz w:val="21"/>
          <w:szCs w:val="21"/>
          <w:highlight w:val="none"/>
          <w:u w:val="single"/>
        </w:rPr>
        <w:tab/>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邮政编码：</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电</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话：</w:t>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传</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真：</w:t>
      </w:r>
      <w:r>
        <w:rPr>
          <w:rFonts w:ascii="宋体" w:hAnsi="宋体"/>
          <w:color w:val="auto"/>
          <w:kern w:val="2"/>
          <w:sz w:val="21"/>
          <w:szCs w:val="21"/>
          <w:highlight w:val="none"/>
          <w:u w:val="single"/>
        </w:rPr>
        <w:t xml:space="preserve">                                           </w:t>
      </w:r>
    </w:p>
    <w:p>
      <w:pPr>
        <w:adjustRightInd/>
        <w:ind w:left="3077" w:leftChars="1282" w:firstLine="0" w:firstLineChars="0"/>
        <w:jc w:val="right"/>
        <w:textAlignment w:val="auto"/>
        <w:rPr>
          <w:rFonts w:ascii="宋体"/>
          <w:color w:val="auto"/>
          <w:kern w:val="2"/>
          <w:sz w:val="21"/>
          <w:szCs w:val="21"/>
          <w:highlight w:val="none"/>
          <w:u w:val="single"/>
        </w:rPr>
      </w:pP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日</w:t>
      </w:r>
    </w:p>
    <w:p>
      <w:pPr>
        <w:adjustRightInd/>
        <w:ind w:firstLine="0" w:firstLineChars="0"/>
        <w:jc w:val="both"/>
        <w:textAlignment w:val="auto"/>
        <w:rPr>
          <w:rFonts w:ascii="宋体"/>
          <w:color w:val="auto"/>
          <w:kern w:val="2"/>
          <w:sz w:val="21"/>
          <w:szCs w:val="21"/>
          <w:highlight w:val="none"/>
        </w:rPr>
      </w:pPr>
    </w:p>
    <w:p>
      <w:pPr>
        <w:adjustRightInd/>
        <w:ind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备注：本承包人履约担保格式可以采用经发包人同意的其他格式，但相关内容不得违背合同约定的实质性内容。</w:t>
      </w:r>
    </w:p>
    <w:p>
      <w:pPr>
        <w:keepNext/>
        <w:keepLines/>
        <w:adjustRightInd/>
        <w:spacing w:beforeLines="50" w:afterLines="50"/>
        <w:ind w:firstLine="0" w:firstLineChars="0"/>
        <w:jc w:val="both"/>
        <w:textAlignment w:val="auto"/>
        <w:outlineLvl w:val="1"/>
        <w:rPr>
          <w:rFonts w:ascii="宋体" w:hAnsi="宋体"/>
          <w:color w:val="auto"/>
          <w:highlight w:val="none"/>
        </w:rPr>
      </w:pPr>
      <w:r>
        <w:rPr>
          <w:rFonts w:ascii="宋体" w:hAnsi="宋体"/>
          <w:color w:val="auto"/>
          <w:sz w:val="21"/>
          <w:highlight w:val="none"/>
        </w:rPr>
        <w:br w:type="page"/>
      </w:r>
      <w:bookmarkStart w:id="887" w:name="_Toc485323232"/>
      <w:bookmarkStart w:id="888" w:name="_Toc486580458"/>
      <w:bookmarkStart w:id="889" w:name="_Toc489280264"/>
      <w:bookmarkStart w:id="890" w:name="_Toc497214126"/>
      <w:bookmarkStart w:id="891" w:name="_Toc497584117"/>
      <w:bookmarkStart w:id="892" w:name="_Toc518556715"/>
      <w:bookmarkStart w:id="893" w:name="_Toc518557111"/>
      <w:bookmarkStart w:id="894" w:name="_Toc518557362"/>
      <w:r>
        <w:rPr>
          <w:rFonts w:hint="eastAsia" w:ascii="宋体" w:hAnsi="宋体"/>
          <w:color w:val="auto"/>
          <w:highlight w:val="none"/>
        </w:rPr>
        <w:t>附件六：支付担保格式</w:t>
      </w:r>
      <w:bookmarkEnd w:id="887"/>
      <w:bookmarkEnd w:id="888"/>
      <w:bookmarkEnd w:id="889"/>
      <w:bookmarkEnd w:id="890"/>
      <w:bookmarkEnd w:id="891"/>
      <w:bookmarkEnd w:id="892"/>
      <w:bookmarkEnd w:id="893"/>
      <w:bookmarkEnd w:id="894"/>
    </w:p>
    <w:p>
      <w:pPr>
        <w:adjustRightInd/>
        <w:ind w:firstLine="0" w:firstLineChars="0"/>
        <w:jc w:val="center"/>
        <w:textAlignment w:val="auto"/>
        <w:rPr>
          <w:rFonts w:ascii="宋体"/>
          <w:b/>
          <w:color w:val="auto"/>
          <w:kern w:val="2"/>
          <w:sz w:val="28"/>
          <w:szCs w:val="24"/>
          <w:highlight w:val="none"/>
        </w:rPr>
      </w:pPr>
    </w:p>
    <w:p>
      <w:pPr>
        <w:adjustRightInd/>
        <w:ind w:firstLine="0" w:firstLineChars="0"/>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发包人支付保函</w:t>
      </w:r>
    </w:p>
    <w:p>
      <w:pPr>
        <w:adjustRightInd/>
        <w:ind w:firstLine="5583" w:firstLineChars="2659"/>
        <w:jc w:val="both"/>
        <w:textAlignment w:val="auto"/>
        <w:rPr>
          <w:rFonts w:ascii="宋体"/>
          <w:color w:val="auto"/>
          <w:kern w:val="2"/>
          <w:sz w:val="21"/>
          <w:szCs w:val="24"/>
          <w:highlight w:val="none"/>
        </w:rPr>
      </w:pPr>
    </w:p>
    <w:p>
      <w:pPr>
        <w:adjustRightInd/>
        <w:ind w:firstLine="0" w:firstLineChars="0"/>
        <w:jc w:val="both"/>
        <w:textAlignment w:val="auto"/>
        <w:rPr>
          <w:rFonts w:ascii="宋体"/>
          <w:color w:val="auto"/>
          <w:kern w:val="2"/>
          <w:sz w:val="21"/>
          <w:szCs w:val="24"/>
          <w:highlight w:val="none"/>
        </w:rPr>
      </w:pP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（承包人）：</w:t>
      </w:r>
    </w:p>
    <w:p>
      <w:pPr>
        <w:adjustRightInd/>
        <w:ind w:firstLine="420"/>
        <w:jc w:val="both"/>
        <w:textAlignment w:val="auto"/>
        <w:rPr>
          <w:rFonts w:ascii="宋体" w:hAnsi="宋体"/>
          <w:color w:val="auto"/>
          <w:kern w:val="2"/>
          <w:sz w:val="21"/>
          <w:szCs w:val="21"/>
          <w:highlight w:val="none"/>
        </w:rPr>
      </w:pPr>
      <w:r>
        <w:rPr>
          <w:rFonts w:hint="eastAsia" w:ascii="宋体" w:hAnsi="宋体" w:cs="Arial"/>
          <w:color w:val="auto"/>
          <w:kern w:val="2"/>
          <w:sz w:val="21"/>
          <w:szCs w:val="21"/>
          <w:highlight w:val="none"/>
        </w:rPr>
        <w:t>鉴于你方作为承包人已经与</w:t>
      </w:r>
      <w:r>
        <w:rPr>
          <w:rFonts w:ascii="宋体" w:hAnsi="宋体" w:cs="Arial"/>
          <w:color w:val="auto"/>
          <w:kern w:val="2"/>
          <w:sz w:val="21"/>
          <w:szCs w:val="21"/>
          <w:highlight w:val="none"/>
          <w:u w:val="single"/>
        </w:rPr>
        <w:t xml:space="preserve">                 </w:t>
      </w:r>
      <w:r>
        <w:rPr>
          <w:rFonts w:hint="eastAsia" w:ascii="宋体" w:hAnsi="宋体" w:cs="Arial"/>
          <w:color w:val="auto"/>
          <w:kern w:val="2"/>
          <w:sz w:val="21"/>
          <w:szCs w:val="21"/>
          <w:highlight w:val="none"/>
        </w:rPr>
        <w:t>（发包人名称）（以下称“发包人”</w:t>
      </w:r>
      <w:r>
        <w:rPr>
          <w:rFonts w:hint="eastAsia" w:ascii="宋体" w:hAnsi="宋体"/>
          <w:color w:val="auto"/>
          <w:kern w:val="2"/>
          <w:sz w:val="21"/>
          <w:szCs w:val="21"/>
          <w:highlight w:val="none"/>
        </w:rPr>
        <w:t>）于</w:t>
      </w:r>
      <w:r>
        <w:rPr>
          <w:rFonts w:ascii="宋体" w:hAnsi="宋体"/>
          <w:color w:val="auto"/>
          <w:kern w:val="2"/>
          <w:sz w:val="21"/>
          <w:szCs w:val="21"/>
          <w:highlight w:val="none"/>
          <w:u w:val="single"/>
        </w:rPr>
        <w:t xml:space="preserve">     </w:t>
      </w:r>
      <w:r>
        <w:rPr>
          <w:rFonts w:ascii="宋体" w:hAnsi="宋体"/>
          <w:color w:val="auto"/>
          <w:kern w:val="2"/>
          <w:sz w:val="21"/>
          <w:szCs w:val="21"/>
          <w:highlight w:val="none"/>
        </w:rPr>
        <w:t xml:space="preserve"> </w:t>
      </w:r>
    </w:p>
    <w:p>
      <w:pPr>
        <w:adjustRightInd/>
        <w:ind w:firstLine="0" w:firstLineChars="0"/>
        <w:jc w:val="both"/>
        <w:textAlignment w:val="auto"/>
        <w:rPr>
          <w:rFonts w:ascii="宋体"/>
          <w:color w:val="auto"/>
          <w:kern w:val="2"/>
          <w:sz w:val="21"/>
          <w:szCs w:val="24"/>
          <w:highlight w:val="none"/>
        </w:rPr>
      </w:pP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日签订了</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（工程名称）施工承包合同（以下称“主合同”），</w:t>
      </w:r>
      <w:r>
        <w:rPr>
          <w:rFonts w:hint="eastAsia" w:ascii="宋体" w:hAnsi="宋体"/>
          <w:color w:val="auto"/>
          <w:kern w:val="2"/>
          <w:sz w:val="21"/>
          <w:szCs w:val="24"/>
          <w:highlight w:val="none"/>
        </w:rPr>
        <w:t>应发包人的申请，我方愿就发包人履行主合同约定的工程款支付义务以保证的方式向你方提供如下担保：</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一、保证的范围及保证金额</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我方的保证范围是主合同约定的工程款。</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本保函所称主合同约定的工程款是指主合同约定的除工程质量保证金以外的合同价款。</w:t>
      </w:r>
    </w:p>
    <w:p>
      <w:pPr>
        <w:adjustRightInd/>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我方保证的金额是主合同约定的工程款的</w:t>
      </w:r>
      <w:r>
        <w:rPr>
          <w:rFonts w:ascii="宋体" w:hAnsi="宋体"/>
          <w:color w:val="auto"/>
          <w:kern w:val="2"/>
          <w:sz w:val="21"/>
          <w:szCs w:val="24"/>
          <w:highlight w:val="none"/>
        </w:rPr>
        <w:t xml:space="preserve"> </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w:t>
      </w:r>
      <w:r>
        <w:rPr>
          <w:rFonts w:hint="eastAsia" w:ascii="宋体" w:hAnsi="宋体"/>
          <w:color w:val="auto"/>
          <w:kern w:val="2"/>
          <w:sz w:val="21"/>
          <w:szCs w:val="24"/>
          <w:highlight w:val="none"/>
        </w:rPr>
        <w:t>，数额最高不超过人民币</w:t>
      </w:r>
      <w:r>
        <w:rPr>
          <w:rFonts w:ascii="宋体"/>
          <w:color w:val="auto"/>
          <w:kern w:val="2"/>
          <w:sz w:val="21"/>
          <w:szCs w:val="24"/>
          <w:highlight w:val="none"/>
        </w:rPr>
        <w:softHyphen/>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元（大写：</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二、保证的方式及保证期间</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我方保证的方式为：连带责任保证。</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我方保证的期间为：自本合同生效之日起至主合同约定的工程款支付之日后</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日内。</w:t>
      </w:r>
    </w:p>
    <w:p>
      <w:pPr>
        <w:adjustRightInd/>
        <w:ind w:firstLine="420"/>
        <w:jc w:val="both"/>
        <w:textAlignment w:val="auto"/>
        <w:rPr>
          <w:rFonts w:ascii="宋体"/>
          <w:b/>
          <w:color w:val="auto"/>
          <w:kern w:val="2"/>
          <w:sz w:val="21"/>
          <w:szCs w:val="24"/>
          <w:highlight w:val="none"/>
        </w:rPr>
      </w:pPr>
      <w:r>
        <w:rPr>
          <w:rFonts w:hint="eastAsia" w:ascii="宋体" w:hAnsi="宋体"/>
          <w:color w:val="auto"/>
          <w:kern w:val="2"/>
          <w:sz w:val="21"/>
          <w:szCs w:val="24"/>
          <w:highlight w:val="none"/>
        </w:rPr>
        <w:t>你方与发包人协议变更工程款支付日期的，经我方书面同意后，保证期间按照变更后的支付日期做相应调整。</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三、承担保证责任的形式</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我方承担保证责任的形式是代为支付。发包人未按主合同约定向你方支付工程款的，由我方在保证金额内代为支付。</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四、代偿的安排</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你方要求我方承担保证责任的，应向我方发出书面索赔通知及发包人未支付主合同约定工程款的证明材料。索赔通知应写明要求索赔的金额，支付款项应到达的帐号。</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我方收到你方的书面索赔通知及相应证明材料后，在</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个工作日内进行核定后按照本保函的承诺承担保证责任。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五、保证责任的解除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、在本保函承诺的保证期间内，你方未书面向我方主张保证责任的，自保证期间届满次日起，我方保证责任解除。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、发包人按主合同约定履行了工程款的全部支付义务的，自本保函承诺的保证期间届满次日起，我方保证责任解除。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、我方按照本保函向你方履行保证责任所支付金额达到本保函保证金额时，自我方向你方支付（支付款项从我方帐户划出）之日起，保证责任即解除。</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、按照法律法规的规定或出现应解除我方保证责任的其它情形的，我方在本保函项下的保证责任亦解除。</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我方解除保证责任后，你方应自我方保证责任解除之日起</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个工作日内，将本保函原件返还我方。</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六、免责条款</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、因你方违约致使发包人不能履行义务的，我方不承担保证责任。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、依照法律法规的规定或你方与发包人的另行约定，免除发包人部分或全部义务的，我方亦免除其相应的保证责任。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、你方与发包人协议变更主合同的（符合主合同合同条款第</w:t>
      </w:r>
      <w:r>
        <w:rPr>
          <w:rFonts w:ascii="宋体" w:hAnsi="宋体"/>
          <w:color w:val="auto"/>
          <w:kern w:val="2"/>
          <w:sz w:val="21"/>
          <w:szCs w:val="24"/>
          <w:highlight w:val="none"/>
        </w:rPr>
        <w:t>15</w:t>
      </w:r>
      <w:r>
        <w:rPr>
          <w:rFonts w:hint="eastAsia" w:ascii="宋体" w:hAnsi="宋体"/>
          <w:color w:val="auto"/>
          <w:kern w:val="2"/>
          <w:sz w:val="21"/>
          <w:szCs w:val="24"/>
          <w:highlight w:val="none"/>
        </w:rPr>
        <w:t>条约定的变更除外），如加重发包人责任致使我方保证责任加重的，需征得我方书面同意，否则我方不再承担因此而加重部分的保证责任。</w:t>
      </w:r>
    </w:p>
    <w:p>
      <w:pPr>
        <w:adjustRightInd/>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、因不可抗力造成发包人不能履行义务的，我方不承担保证责任。</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七、争议的解决</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因本保函发生的纠纷，由贵我双方协商解决，协商不成的，任何一方均可提请</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仲裁委员会仲裁。</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八、保函的生效</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本保函自我方法定代表人（或其授权代理人）签字或加盖公章并交付你方之日起生效。</w:t>
      </w:r>
    </w:p>
    <w:p>
      <w:pPr>
        <w:adjustRightInd/>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本条所称交付是指：</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w:t>
      </w:r>
    </w:p>
    <w:p>
      <w:pPr>
        <w:adjustRightInd/>
        <w:ind w:firstLine="0" w:firstLineChars="0"/>
        <w:jc w:val="both"/>
        <w:textAlignment w:val="auto"/>
        <w:rPr>
          <w:rFonts w:ascii="宋体"/>
          <w:color w:val="auto"/>
          <w:kern w:val="2"/>
          <w:sz w:val="21"/>
          <w:szCs w:val="24"/>
          <w:highlight w:val="none"/>
        </w:rPr>
      </w:pP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担保人：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（盖单位章）</w:t>
      </w: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法定代表人或其委托代理人：</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（签字）</w:t>
      </w:r>
    </w:p>
    <w:p>
      <w:pPr>
        <w:adjustRightInd/>
        <w:ind w:left="3077" w:leftChars="1282" w:firstLine="0" w:firstLineChars="0"/>
        <w:jc w:val="both"/>
        <w:textAlignment w:val="auto"/>
        <w:rPr>
          <w:rFonts w:ascii="宋体"/>
          <w:color w:val="auto"/>
          <w:kern w:val="2"/>
          <w:sz w:val="21"/>
          <w:szCs w:val="21"/>
          <w:highlight w:val="none"/>
        </w:rPr>
      </w:pPr>
      <w:r>
        <w:rPr>
          <w:rFonts w:hint="eastAsia" w:ascii="宋体" w:hAnsi="宋体"/>
          <w:color w:val="auto"/>
          <w:kern w:val="2"/>
          <w:sz w:val="21"/>
          <w:szCs w:val="21"/>
          <w:highlight w:val="none"/>
        </w:rPr>
        <w:t>地</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址：</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hAnsi="宋体"/>
          <w:color w:val="auto"/>
          <w:kern w:val="2"/>
          <w:sz w:val="21"/>
          <w:szCs w:val="21"/>
          <w:highlight w:val="none"/>
          <w:u w:val="single"/>
        </w:rPr>
        <w:tab/>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邮政编码：</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color w:val="auto"/>
          <w:kern w:val="2"/>
          <w:sz w:val="21"/>
          <w:szCs w:val="21"/>
          <w:highlight w:val="none"/>
          <w:u w:val="single"/>
        </w:rPr>
        <w:tab/>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电</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话：</w:t>
      </w:r>
      <w:r>
        <w:rPr>
          <w:rFonts w:ascii="宋体" w:hAnsi="宋体"/>
          <w:color w:val="auto"/>
          <w:kern w:val="2"/>
          <w:sz w:val="21"/>
          <w:szCs w:val="21"/>
          <w:highlight w:val="none"/>
          <w:u w:val="single"/>
        </w:rPr>
        <w:t xml:space="preserve">                                           </w:t>
      </w:r>
    </w:p>
    <w:p>
      <w:pPr>
        <w:adjustRightInd/>
        <w:ind w:left="3077" w:leftChars="1282" w:firstLine="0" w:firstLineChars="0"/>
        <w:jc w:val="both"/>
        <w:textAlignment w:val="auto"/>
        <w:rPr>
          <w:rFonts w:ascii="宋体"/>
          <w:color w:val="auto"/>
          <w:kern w:val="2"/>
          <w:sz w:val="21"/>
          <w:szCs w:val="21"/>
          <w:highlight w:val="none"/>
          <w:u w:val="single"/>
        </w:rPr>
      </w:pPr>
      <w:r>
        <w:rPr>
          <w:rFonts w:hint="eastAsia" w:ascii="宋体" w:hAnsi="宋体"/>
          <w:color w:val="auto"/>
          <w:kern w:val="2"/>
          <w:sz w:val="21"/>
          <w:szCs w:val="21"/>
          <w:highlight w:val="none"/>
        </w:rPr>
        <w:t>传</w:t>
      </w:r>
      <w:r>
        <w:rPr>
          <w:rFonts w:ascii="宋体" w:hAnsi="宋体"/>
          <w:color w:val="auto"/>
          <w:kern w:val="2"/>
          <w:sz w:val="21"/>
          <w:szCs w:val="21"/>
          <w:highlight w:val="none"/>
        </w:rPr>
        <w:t xml:space="preserve">    </w:t>
      </w:r>
      <w:r>
        <w:rPr>
          <w:rFonts w:hint="eastAsia" w:ascii="宋体" w:hAnsi="宋体"/>
          <w:color w:val="auto"/>
          <w:kern w:val="2"/>
          <w:sz w:val="21"/>
          <w:szCs w:val="21"/>
          <w:highlight w:val="none"/>
        </w:rPr>
        <w:t>真：</w:t>
      </w:r>
      <w:r>
        <w:rPr>
          <w:rFonts w:ascii="宋体" w:hAnsi="宋体"/>
          <w:color w:val="auto"/>
          <w:kern w:val="2"/>
          <w:sz w:val="21"/>
          <w:szCs w:val="21"/>
          <w:highlight w:val="none"/>
          <w:u w:val="single"/>
        </w:rPr>
        <w:t xml:space="preserve">                                           </w:t>
      </w:r>
    </w:p>
    <w:p>
      <w:pPr>
        <w:adjustRightInd/>
        <w:ind w:firstLine="0" w:firstLineChars="0"/>
        <w:jc w:val="right"/>
        <w:textAlignment w:val="auto"/>
        <w:rPr>
          <w:rFonts w:ascii="宋体"/>
          <w:color w:val="auto"/>
          <w:kern w:val="2"/>
          <w:sz w:val="21"/>
          <w:szCs w:val="21"/>
          <w:highlight w:val="none"/>
          <w:u w:val="single"/>
        </w:rPr>
      </w:pP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年</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月</w:t>
      </w:r>
      <w:r>
        <w:rPr>
          <w:rFonts w:ascii="宋体" w:hAnsi="宋体"/>
          <w:color w:val="auto"/>
          <w:kern w:val="2"/>
          <w:sz w:val="21"/>
          <w:szCs w:val="21"/>
          <w:highlight w:val="none"/>
          <w:u w:val="single"/>
        </w:rPr>
        <w:t xml:space="preserve">      </w:t>
      </w:r>
      <w:r>
        <w:rPr>
          <w:rFonts w:hint="eastAsia" w:ascii="宋体" w:hAnsi="宋体"/>
          <w:color w:val="auto"/>
          <w:kern w:val="2"/>
          <w:sz w:val="21"/>
          <w:szCs w:val="21"/>
          <w:highlight w:val="none"/>
        </w:rPr>
        <w:t>日</w:t>
      </w:r>
    </w:p>
    <w:p>
      <w:pPr>
        <w:adjustRightInd/>
        <w:ind w:firstLine="0" w:firstLineChars="0"/>
        <w:jc w:val="both"/>
        <w:textAlignment w:val="auto"/>
        <w:rPr>
          <w:rFonts w:ascii="宋体"/>
          <w:bCs/>
          <w:color w:val="auto"/>
          <w:kern w:val="2"/>
          <w:sz w:val="21"/>
          <w:szCs w:val="24"/>
          <w:highlight w:val="none"/>
        </w:rPr>
        <w:sectPr>
          <w:pgSz w:w="11906" w:h="16838"/>
          <w:pgMar w:top="1440" w:right="1797" w:bottom="1440" w:left="1797" w:header="851" w:footer="992" w:gutter="0"/>
          <w:cols w:space="425" w:num="1"/>
          <w:docGrid w:linePitch="312" w:charSpace="0"/>
        </w:sectPr>
      </w:pPr>
      <w:r>
        <w:rPr>
          <w:rFonts w:hint="eastAsia" w:ascii="宋体" w:hAnsi="宋体"/>
          <w:bCs/>
          <w:color w:val="auto"/>
          <w:kern w:val="2"/>
          <w:sz w:val="21"/>
          <w:szCs w:val="24"/>
          <w:highlight w:val="none"/>
        </w:rPr>
        <w:t>备注：本支付担保格式可采用经承包人同意的其他格式，但相关约定应当与承包人履约担保对等。</w:t>
      </w:r>
    </w:p>
    <w:p>
      <w:pPr>
        <w:keepNext/>
        <w:keepLines/>
        <w:adjustRightInd/>
        <w:spacing w:beforeLines="50" w:afterLines="50"/>
        <w:ind w:firstLine="0" w:firstLineChars="0"/>
        <w:jc w:val="both"/>
        <w:textAlignment w:val="auto"/>
        <w:outlineLvl w:val="1"/>
        <w:rPr>
          <w:rFonts w:ascii="宋体" w:hAnsi="宋体"/>
          <w:color w:val="auto"/>
          <w:highlight w:val="none"/>
        </w:rPr>
      </w:pPr>
      <w:bookmarkStart w:id="895" w:name="_Toc489219296"/>
      <w:bookmarkStart w:id="896" w:name="_Toc497214127"/>
      <w:bookmarkStart w:id="897" w:name="_Toc497584118"/>
      <w:bookmarkStart w:id="898" w:name="_Toc518556716"/>
      <w:bookmarkStart w:id="899" w:name="_Toc518557112"/>
      <w:bookmarkStart w:id="900" w:name="_Toc518557363"/>
      <w:r>
        <w:rPr>
          <w:rFonts w:hint="eastAsia" w:ascii="宋体" w:hAnsi="宋体"/>
          <w:color w:val="auto"/>
          <w:highlight w:val="none"/>
        </w:rPr>
        <w:t>附件七：质量保修书格式</w:t>
      </w:r>
      <w:bookmarkEnd w:id="895"/>
      <w:bookmarkEnd w:id="896"/>
      <w:bookmarkEnd w:id="897"/>
      <w:bookmarkEnd w:id="898"/>
      <w:bookmarkEnd w:id="899"/>
      <w:bookmarkEnd w:id="900"/>
    </w:p>
    <w:p>
      <w:pPr>
        <w:tabs>
          <w:tab w:val="left" w:pos="3855"/>
        </w:tabs>
        <w:adjustRightInd/>
        <w:snapToGrid w:val="0"/>
        <w:ind w:firstLine="560"/>
        <w:jc w:val="center"/>
        <w:textAlignment w:val="auto"/>
        <w:rPr>
          <w:rFonts w:ascii="宋体"/>
          <w:color w:val="auto"/>
          <w:kern w:val="2"/>
          <w:sz w:val="28"/>
          <w:szCs w:val="24"/>
          <w:highlight w:val="none"/>
        </w:rPr>
      </w:pPr>
    </w:p>
    <w:p>
      <w:pPr>
        <w:tabs>
          <w:tab w:val="left" w:pos="3855"/>
        </w:tabs>
        <w:adjustRightInd/>
        <w:snapToGrid w:val="0"/>
        <w:ind w:firstLine="562"/>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房屋建筑工程质量保修书</w:t>
      </w:r>
    </w:p>
    <w:p>
      <w:pPr>
        <w:adjustRightInd/>
        <w:snapToGrid w:val="0"/>
        <w:ind w:firstLine="0" w:firstLineChars="0"/>
        <w:jc w:val="both"/>
        <w:textAlignment w:val="auto"/>
        <w:rPr>
          <w:rFonts w:ascii="宋体"/>
          <w:color w:val="auto"/>
          <w:kern w:val="2"/>
          <w:sz w:val="21"/>
          <w:szCs w:val="24"/>
          <w:highlight w:val="none"/>
        </w:rPr>
      </w:pPr>
    </w:p>
    <w:p>
      <w:pPr>
        <w:adjustRightInd/>
        <w:snapToGrid w:val="0"/>
        <w:ind w:firstLine="0" w:firstLineChars="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发包人：</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承包人：</w:t>
      </w:r>
      <w:r>
        <w:rPr>
          <w:rFonts w:ascii="宋体" w:hAnsi="宋体"/>
          <w:color w:val="auto"/>
          <w:kern w:val="2"/>
          <w:sz w:val="21"/>
          <w:szCs w:val="24"/>
          <w:highlight w:val="none"/>
          <w:u w:val="single"/>
        </w:rPr>
        <w:t xml:space="preserve">                                                                  </w:t>
      </w:r>
    </w:p>
    <w:p>
      <w:pPr>
        <w:adjustRightInd/>
        <w:snapToGrid w:val="0"/>
        <w:ind w:firstLine="488" w:firstLineChars="0"/>
        <w:jc w:val="both"/>
        <w:textAlignment w:val="auto"/>
        <w:rPr>
          <w:rFonts w:ascii="宋体"/>
          <w:color w:val="auto"/>
          <w:kern w:val="2"/>
          <w:sz w:val="21"/>
          <w:szCs w:val="24"/>
          <w:highlight w:val="none"/>
          <w:u w:val="single"/>
        </w:rPr>
      </w:pP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发包人、承包人根据《中华人民共和国建筑法》、《建设工程质量管理条例》和《房屋建筑工程质量保修办法》，经协商一致，对</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w:t>
      </w:r>
      <w:r>
        <w:rPr>
          <w:rFonts w:hint="eastAsia" w:ascii="宋体" w:hAnsi="宋体"/>
          <w:color w:val="auto"/>
          <w:kern w:val="2"/>
          <w:sz w:val="21"/>
          <w:szCs w:val="21"/>
          <w:highlight w:val="none"/>
        </w:rPr>
        <w:t>工程</w:t>
      </w:r>
      <w:r>
        <w:rPr>
          <w:rFonts w:hint="eastAsia" w:ascii="宋体" w:hAnsi="宋体"/>
          <w:color w:val="auto"/>
          <w:kern w:val="2"/>
          <w:sz w:val="21"/>
          <w:szCs w:val="24"/>
          <w:highlight w:val="none"/>
        </w:rPr>
        <w:t>名称）签订保修书。</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一、工程保修范围和内容</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承包人在保修期内，按照有关法律、法规、规章的管理规定和双方约定，承担本工程保修责任。</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二、保修期</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双方根据《建设工程质量管理条例》及有关规定，约定本工程的保修期如下：</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地基基础工程和主体结构工程为设计文件规定的该工程合理使用年限；</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屋面防水工程、有防水要求的卫生间、房间和外墙面的防渗漏为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外窗工程为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年，外窗防渗漏为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装修工程为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电气管线、给排水管道、设备安装工程为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供热与供冷系统为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个采暖期、供冷期；</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住宅小区内的给排水设施、道路等配套工程为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年；</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其他项目保修期限约定如下：</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三、保修责任</w:t>
      </w:r>
    </w:p>
    <w:p>
      <w:pPr>
        <w:adjustRightInd/>
        <w:snapToGrid w:val="0"/>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1</w:t>
      </w:r>
      <w:r>
        <w:rPr>
          <w:rFonts w:hint="eastAsia" w:ascii="宋体" w:hAnsi="宋体"/>
          <w:color w:val="auto"/>
          <w:kern w:val="2"/>
          <w:sz w:val="21"/>
          <w:szCs w:val="24"/>
          <w:highlight w:val="none"/>
        </w:rPr>
        <w:t>、属于责任范围、内容的项目，承包人应当在接到保修通知之日起</w:t>
      </w:r>
      <w:r>
        <w:rPr>
          <w:rFonts w:ascii="宋体" w:hAnsi="宋体"/>
          <w:color w:val="auto"/>
          <w:kern w:val="2"/>
          <w:sz w:val="21"/>
          <w:szCs w:val="24"/>
          <w:highlight w:val="none"/>
        </w:rPr>
        <w:t>7</w:t>
      </w:r>
      <w:r>
        <w:rPr>
          <w:rFonts w:hint="eastAsia" w:ascii="宋体" w:hAnsi="宋体"/>
          <w:color w:val="auto"/>
          <w:kern w:val="2"/>
          <w:sz w:val="21"/>
          <w:szCs w:val="24"/>
          <w:highlight w:val="none"/>
        </w:rPr>
        <w:t>天内派人保修。承包人不在约定期限内派人保修的，发包人可以委托他人修理。</w:t>
      </w:r>
    </w:p>
    <w:p>
      <w:pPr>
        <w:adjustRightInd/>
        <w:snapToGrid w:val="0"/>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2</w:t>
      </w:r>
      <w:r>
        <w:rPr>
          <w:rFonts w:hint="eastAsia" w:ascii="宋体" w:hAnsi="宋体"/>
          <w:color w:val="auto"/>
          <w:kern w:val="2"/>
          <w:sz w:val="21"/>
          <w:szCs w:val="24"/>
          <w:highlight w:val="none"/>
        </w:rPr>
        <w:t>、发生紧急抢修事故的，承包人在接到事故通知后，应当立即到达事故现场抢修。</w:t>
      </w:r>
    </w:p>
    <w:p>
      <w:pPr>
        <w:adjustRightInd/>
        <w:snapToGrid w:val="0"/>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3</w:t>
      </w:r>
      <w:r>
        <w:rPr>
          <w:rFonts w:hint="eastAsia" w:ascii="宋体" w:hAnsi="宋体"/>
          <w:color w:val="auto"/>
          <w:kern w:val="2"/>
          <w:sz w:val="21"/>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adjustRightInd/>
        <w:snapToGrid w:val="0"/>
        <w:ind w:firstLine="420"/>
        <w:jc w:val="both"/>
        <w:textAlignment w:val="auto"/>
        <w:rPr>
          <w:rFonts w:ascii="宋体"/>
          <w:color w:val="auto"/>
          <w:kern w:val="2"/>
          <w:sz w:val="21"/>
          <w:szCs w:val="24"/>
          <w:highlight w:val="none"/>
        </w:rPr>
      </w:pPr>
      <w:r>
        <w:rPr>
          <w:rFonts w:ascii="宋体" w:hAnsi="宋体"/>
          <w:color w:val="auto"/>
          <w:kern w:val="2"/>
          <w:sz w:val="21"/>
          <w:szCs w:val="24"/>
          <w:highlight w:val="none"/>
        </w:rPr>
        <w:t>4</w:t>
      </w:r>
      <w:r>
        <w:rPr>
          <w:rFonts w:hint="eastAsia" w:ascii="宋体" w:hAnsi="宋体"/>
          <w:color w:val="auto"/>
          <w:kern w:val="2"/>
          <w:sz w:val="21"/>
          <w:szCs w:val="24"/>
          <w:highlight w:val="none"/>
        </w:rPr>
        <w:t>、质量保修完成后，由发包人组织验收。</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四、保修费用</w:t>
      </w:r>
    </w:p>
    <w:p>
      <w:pPr>
        <w:adjustRightInd/>
        <w:snapToGrid w:val="0"/>
        <w:ind w:firstLine="42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保修费用由造成质量缺陷的责任方承担。</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五、其</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他</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双方约定的其他工程保修责任事项：</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u w:val="single"/>
        </w:rPr>
      </w:pP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w:t>
      </w:r>
    </w:p>
    <w:p>
      <w:pPr>
        <w:adjustRightInd/>
        <w:snapToGrid w:val="0"/>
        <w:ind w:firstLine="42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本工程保修书，由施工合同发包人、承包人双方在竣工验收前共同签署，作为施工合同附件，其有效期限至保修期满。</w:t>
      </w:r>
    </w:p>
    <w:p>
      <w:pPr>
        <w:adjustRightInd/>
        <w:snapToGrid w:val="0"/>
        <w:ind w:firstLine="0" w:firstLineChars="0"/>
        <w:jc w:val="both"/>
        <w:textAlignment w:val="auto"/>
        <w:rPr>
          <w:rFonts w:ascii="宋体"/>
          <w:color w:val="auto"/>
          <w:kern w:val="2"/>
          <w:sz w:val="21"/>
          <w:szCs w:val="24"/>
          <w:highlight w:val="none"/>
        </w:rPr>
      </w:pP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发包人：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（公章）</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承包人：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（公章）</w:t>
      </w:r>
      <w:r>
        <w:rPr>
          <w:rFonts w:ascii="宋体" w:hAnsi="宋体"/>
          <w:color w:val="auto"/>
          <w:kern w:val="2"/>
          <w:sz w:val="21"/>
          <w:szCs w:val="24"/>
          <w:highlight w:val="non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法定地址：</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法定地址：</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法定代表人或其</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法定代表人或其</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委托代理人：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（签字）</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委托代理人：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（签字）</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电话：</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电话：</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传真：</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传真：</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电子邮箱：</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电子邮箱：</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开户银行：</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开户银行：</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帐号：</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帐号：</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hAnsi="宋体"/>
          <w:color w:val="auto"/>
          <w:kern w:val="2"/>
          <w:sz w:val="21"/>
          <w:szCs w:val="24"/>
          <w:highlight w:val="none"/>
        </w:rPr>
      </w:pPr>
      <w:r>
        <w:rPr>
          <w:rFonts w:hint="eastAsia" w:ascii="宋体" w:hAnsi="宋体"/>
          <w:color w:val="auto"/>
          <w:kern w:val="2"/>
          <w:sz w:val="21"/>
          <w:szCs w:val="24"/>
          <w:highlight w:val="none"/>
        </w:rPr>
        <w:t>邮政编码：</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邮政编码：</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p>
    <w:p>
      <w:pPr>
        <w:keepNext/>
        <w:keepLines/>
        <w:adjustRightInd/>
        <w:spacing w:beforeLines="50" w:afterLines="50"/>
        <w:ind w:firstLine="0" w:firstLineChars="0"/>
        <w:jc w:val="both"/>
        <w:textAlignment w:val="auto"/>
        <w:outlineLvl w:val="1"/>
        <w:rPr>
          <w:rFonts w:ascii="宋体" w:hAnsi="宋体"/>
          <w:color w:val="auto"/>
          <w:highlight w:val="none"/>
        </w:rPr>
      </w:pPr>
      <w:r>
        <w:rPr>
          <w:rFonts w:ascii="宋体" w:hAnsi="宋体"/>
          <w:color w:val="auto"/>
          <w:highlight w:val="none"/>
        </w:rPr>
        <w:br w:type="page"/>
      </w:r>
      <w:bookmarkStart w:id="901" w:name="_Toc489219297"/>
      <w:bookmarkStart w:id="902" w:name="_Toc497214128"/>
      <w:bookmarkStart w:id="903" w:name="_Toc497584119"/>
      <w:bookmarkStart w:id="904" w:name="_Toc518556717"/>
      <w:bookmarkStart w:id="905" w:name="_Toc518557113"/>
      <w:bookmarkStart w:id="906" w:name="_Toc518557364"/>
      <w:r>
        <w:rPr>
          <w:rFonts w:hint="eastAsia" w:ascii="宋体" w:hAnsi="宋体"/>
          <w:color w:val="auto"/>
          <w:highlight w:val="none"/>
        </w:rPr>
        <w:t>附件八：廉政责任书格式</w:t>
      </w:r>
      <w:bookmarkEnd w:id="901"/>
      <w:bookmarkEnd w:id="902"/>
      <w:bookmarkEnd w:id="903"/>
      <w:bookmarkEnd w:id="904"/>
      <w:bookmarkEnd w:id="905"/>
      <w:bookmarkEnd w:id="906"/>
    </w:p>
    <w:p>
      <w:pPr>
        <w:adjustRightInd/>
        <w:snapToGrid w:val="0"/>
        <w:ind w:firstLine="488" w:firstLineChars="0"/>
        <w:jc w:val="center"/>
        <w:textAlignment w:val="auto"/>
        <w:rPr>
          <w:rFonts w:ascii="宋体"/>
          <w:color w:val="auto"/>
          <w:kern w:val="2"/>
          <w:sz w:val="21"/>
          <w:szCs w:val="24"/>
          <w:highlight w:val="none"/>
        </w:rPr>
      </w:pPr>
    </w:p>
    <w:p>
      <w:pPr>
        <w:adjustRightInd/>
        <w:snapToGrid w:val="0"/>
        <w:ind w:firstLine="0" w:firstLineChars="0"/>
        <w:jc w:val="center"/>
        <w:textAlignment w:val="auto"/>
        <w:rPr>
          <w:rFonts w:ascii="宋体"/>
          <w:b/>
          <w:color w:val="auto"/>
          <w:kern w:val="2"/>
          <w:sz w:val="28"/>
          <w:szCs w:val="24"/>
          <w:highlight w:val="none"/>
        </w:rPr>
      </w:pPr>
      <w:r>
        <w:rPr>
          <w:rFonts w:hint="eastAsia" w:ascii="宋体" w:hAnsi="宋体"/>
          <w:b/>
          <w:color w:val="auto"/>
          <w:kern w:val="2"/>
          <w:sz w:val="28"/>
          <w:szCs w:val="24"/>
          <w:highlight w:val="none"/>
        </w:rPr>
        <w:t>建设工程廉政责任书</w:t>
      </w:r>
    </w:p>
    <w:p>
      <w:pPr>
        <w:adjustRightInd/>
        <w:snapToGrid w:val="0"/>
        <w:ind w:firstLine="420"/>
        <w:jc w:val="both"/>
        <w:textAlignment w:val="auto"/>
        <w:rPr>
          <w:rFonts w:ascii="宋体"/>
          <w:color w:val="auto"/>
          <w:kern w:val="2"/>
          <w:sz w:val="21"/>
          <w:szCs w:val="24"/>
          <w:highlight w:val="none"/>
        </w:rPr>
      </w:pPr>
    </w:p>
    <w:p>
      <w:pPr>
        <w:adjustRightInd/>
        <w:snapToGrid w:val="0"/>
        <w:ind w:firstLine="0" w:firstLineChars="0"/>
        <w:jc w:val="both"/>
        <w:textAlignment w:val="auto"/>
        <w:rPr>
          <w:rFonts w:ascii="宋体"/>
          <w:color w:val="auto"/>
          <w:kern w:val="2"/>
          <w:sz w:val="21"/>
          <w:szCs w:val="24"/>
          <w:highlight w:val="none"/>
          <w:u w:val="single"/>
        </w:rPr>
      </w:pPr>
      <w:r>
        <w:rPr>
          <w:rFonts w:hint="eastAsia" w:ascii="宋体" w:hAnsi="宋体"/>
          <w:color w:val="auto"/>
          <w:kern w:val="2"/>
          <w:sz w:val="21"/>
          <w:szCs w:val="24"/>
          <w:highlight w:val="none"/>
        </w:rPr>
        <w:t>发包人：</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承包人：</w:t>
      </w:r>
      <w:r>
        <w:rPr>
          <w:rFonts w:ascii="宋体" w:hAnsi="宋体"/>
          <w:color w:val="auto"/>
          <w:kern w:val="2"/>
          <w:sz w:val="21"/>
          <w:szCs w:val="24"/>
          <w:highlight w:val="none"/>
          <w:u w:val="single"/>
        </w:rPr>
        <w:t xml:space="preserve">                                                                      </w:t>
      </w:r>
    </w:p>
    <w:p>
      <w:pPr>
        <w:adjustRightInd/>
        <w:snapToGrid w:val="0"/>
        <w:ind w:firstLine="420"/>
        <w:jc w:val="both"/>
        <w:textAlignment w:val="auto"/>
        <w:rPr>
          <w:rFonts w:ascii="宋体"/>
          <w:color w:val="auto"/>
          <w:kern w:val="2"/>
          <w:sz w:val="21"/>
          <w:szCs w:val="24"/>
          <w:highlight w:val="none"/>
        </w:rPr>
      </w:pP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一、双方的责任</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 xml:space="preserve">1.1 </w:t>
      </w:r>
      <w:r>
        <w:rPr>
          <w:rFonts w:hint="eastAsia" w:ascii="宋体" w:hAnsi="宋体"/>
          <w:color w:val="auto"/>
          <w:kern w:val="2"/>
          <w:sz w:val="21"/>
          <w:szCs w:val="28"/>
          <w:highlight w:val="none"/>
        </w:rPr>
        <w:t>应严格遵守国家关于建设工程的有关法律、法规，相关政策，以及廉政建设的各项规定。</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1</w:t>
      </w:r>
      <w:r>
        <w:rPr>
          <w:rFonts w:ascii="宋体"/>
          <w:color w:val="auto"/>
          <w:kern w:val="2"/>
          <w:sz w:val="21"/>
          <w:szCs w:val="28"/>
          <w:highlight w:val="none"/>
        </w:rPr>
        <w:t>.</w:t>
      </w:r>
      <w:r>
        <w:rPr>
          <w:rFonts w:ascii="宋体" w:hAnsi="宋体"/>
          <w:color w:val="auto"/>
          <w:kern w:val="2"/>
          <w:sz w:val="21"/>
          <w:szCs w:val="28"/>
          <w:highlight w:val="none"/>
        </w:rPr>
        <w:t xml:space="preserve">2 </w:t>
      </w:r>
      <w:r>
        <w:rPr>
          <w:rFonts w:hint="eastAsia" w:ascii="宋体" w:hAnsi="宋体"/>
          <w:color w:val="auto"/>
          <w:kern w:val="2"/>
          <w:sz w:val="21"/>
          <w:szCs w:val="28"/>
          <w:highlight w:val="none"/>
        </w:rPr>
        <w:t>严格执行建设工程合同文件，自觉按合同办事。</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1</w:t>
      </w:r>
      <w:r>
        <w:rPr>
          <w:rFonts w:ascii="宋体"/>
          <w:color w:val="auto"/>
          <w:kern w:val="2"/>
          <w:sz w:val="21"/>
          <w:szCs w:val="28"/>
          <w:highlight w:val="none"/>
        </w:rPr>
        <w:t>.</w:t>
      </w:r>
      <w:r>
        <w:rPr>
          <w:rFonts w:ascii="宋体" w:hAnsi="宋体"/>
          <w:color w:val="auto"/>
          <w:kern w:val="2"/>
          <w:sz w:val="21"/>
          <w:szCs w:val="28"/>
          <w:highlight w:val="none"/>
        </w:rPr>
        <w:t xml:space="preserve">3 </w:t>
      </w:r>
      <w:r>
        <w:rPr>
          <w:rFonts w:hint="eastAsia" w:ascii="宋体" w:hAnsi="宋体"/>
          <w:color w:val="auto"/>
          <w:kern w:val="2"/>
          <w:sz w:val="21"/>
          <w:szCs w:val="28"/>
          <w:highlight w:val="none"/>
        </w:rPr>
        <w:t>各项活动必须坚持公开、公平、公正、诚信、透明的原则（除法律法规另有规定者外），不得为获取不正当的利益，损害国家、集体和对方利益，不得违反建设工程管理的规章制度。</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1</w:t>
      </w:r>
      <w:r>
        <w:rPr>
          <w:rFonts w:ascii="宋体"/>
          <w:color w:val="auto"/>
          <w:kern w:val="2"/>
          <w:sz w:val="21"/>
          <w:szCs w:val="28"/>
          <w:highlight w:val="none"/>
        </w:rPr>
        <w:t>.</w:t>
      </w:r>
      <w:r>
        <w:rPr>
          <w:rFonts w:ascii="宋体" w:hAnsi="宋体"/>
          <w:color w:val="auto"/>
          <w:kern w:val="2"/>
          <w:sz w:val="21"/>
          <w:szCs w:val="28"/>
          <w:highlight w:val="none"/>
        </w:rPr>
        <w:t xml:space="preserve">4 </w:t>
      </w:r>
      <w:r>
        <w:rPr>
          <w:rFonts w:hint="eastAsia" w:ascii="宋体" w:hAnsi="宋体"/>
          <w:color w:val="auto"/>
          <w:kern w:val="2"/>
          <w:sz w:val="21"/>
          <w:szCs w:val="28"/>
          <w:highlight w:val="none"/>
        </w:rPr>
        <w:t>发现对方在业务活动中有违规、违纪、违法行为的，应及时提醒对方，情节严重的，应向其上级主管部门或纪检监察、司法等有关机关举报。</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二、发包人责任</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发包人的领导和从事该建设工程项目的工作人员，在工程建设的事前、事中、事后应遵守以下规定：</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2</w:t>
      </w:r>
      <w:r>
        <w:rPr>
          <w:rFonts w:ascii="宋体"/>
          <w:color w:val="auto"/>
          <w:kern w:val="2"/>
          <w:sz w:val="21"/>
          <w:szCs w:val="28"/>
          <w:highlight w:val="none"/>
        </w:rPr>
        <w:t>.</w:t>
      </w:r>
      <w:r>
        <w:rPr>
          <w:rFonts w:ascii="宋体" w:hAnsi="宋体"/>
          <w:color w:val="auto"/>
          <w:kern w:val="2"/>
          <w:sz w:val="21"/>
          <w:szCs w:val="28"/>
          <w:highlight w:val="none"/>
        </w:rPr>
        <w:t>1</w:t>
      </w:r>
      <w:r>
        <w:rPr>
          <w:rFonts w:hint="eastAsia" w:ascii="宋体" w:hAnsi="宋体"/>
          <w:color w:val="auto"/>
          <w:kern w:val="2"/>
          <w:sz w:val="21"/>
          <w:szCs w:val="28"/>
          <w:highlight w:val="none"/>
        </w:rPr>
        <w:t>不得向承包人和相关单位索要或接受回扣、礼金、有价证券、贵重物品和好处费、感谢费等。</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2</w:t>
      </w:r>
      <w:r>
        <w:rPr>
          <w:rFonts w:ascii="宋体"/>
          <w:color w:val="auto"/>
          <w:kern w:val="2"/>
          <w:sz w:val="21"/>
          <w:szCs w:val="28"/>
          <w:highlight w:val="none"/>
        </w:rPr>
        <w:t>.</w:t>
      </w:r>
      <w:r>
        <w:rPr>
          <w:rFonts w:ascii="宋体" w:hAnsi="宋体"/>
          <w:color w:val="auto"/>
          <w:kern w:val="2"/>
          <w:sz w:val="21"/>
          <w:szCs w:val="28"/>
          <w:highlight w:val="none"/>
        </w:rPr>
        <w:t xml:space="preserve">2 </w:t>
      </w:r>
      <w:r>
        <w:rPr>
          <w:rFonts w:hint="eastAsia" w:ascii="宋体" w:hAnsi="宋体"/>
          <w:color w:val="auto"/>
          <w:kern w:val="2"/>
          <w:sz w:val="21"/>
          <w:szCs w:val="28"/>
          <w:highlight w:val="none"/>
        </w:rPr>
        <w:t>不得在承包人和相关单位报销任何应由发包人或个人支付的费用。</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2</w:t>
      </w:r>
      <w:r>
        <w:rPr>
          <w:rFonts w:ascii="宋体"/>
          <w:color w:val="auto"/>
          <w:kern w:val="2"/>
          <w:sz w:val="21"/>
          <w:szCs w:val="28"/>
          <w:highlight w:val="none"/>
        </w:rPr>
        <w:t>.</w:t>
      </w:r>
      <w:r>
        <w:rPr>
          <w:rFonts w:ascii="宋体" w:hAnsi="宋体"/>
          <w:color w:val="auto"/>
          <w:kern w:val="2"/>
          <w:sz w:val="21"/>
          <w:szCs w:val="28"/>
          <w:highlight w:val="none"/>
        </w:rPr>
        <w:t xml:space="preserve">3 </w:t>
      </w:r>
      <w:r>
        <w:rPr>
          <w:rFonts w:hint="eastAsia" w:ascii="宋体" w:hAnsi="宋体"/>
          <w:color w:val="auto"/>
          <w:kern w:val="2"/>
          <w:sz w:val="21"/>
          <w:szCs w:val="28"/>
          <w:highlight w:val="none"/>
        </w:rPr>
        <w:t>不得要求、暗示或接受承包人和相关单位为个人装修住房、婚丧嫁娶、配偶子女的工作安排以及出国（境）、旅游等提供方便。</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2</w:t>
      </w:r>
      <w:r>
        <w:rPr>
          <w:rFonts w:ascii="宋体"/>
          <w:color w:val="auto"/>
          <w:kern w:val="2"/>
          <w:sz w:val="21"/>
          <w:szCs w:val="28"/>
          <w:highlight w:val="none"/>
        </w:rPr>
        <w:t>.</w:t>
      </w:r>
      <w:r>
        <w:rPr>
          <w:rFonts w:ascii="宋体" w:hAnsi="宋体"/>
          <w:color w:val="auto"/>
          <w:kern w:val="2"/>
          <w:sz w:val="21"/>
          <w:szCs w:val="28"/>
          <w:highlight w:val="none"/>
        </w:rPr>
        <w:t xml:space="preserve">4 </w:t>
      </w:r>
      <w:r>
        <w:rPr>
          <w:rFonts w:hint="eastAsia" w:ascii="宋体" w:hAnsi="宋体"/>
          <w:color w:val="auto"/>
          <w:kern w:val="2"/>
          <w:sz w:val="21"/>
          <w:szCs w:val="28"/>
          <w:highlight w:val="none"/>
        </w:rPr>
        <w:t>不得参加有可能影响公正执行公务的承包人和相关单位的宴请、健身、娱乐等活动。</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2</w:t>
      </w:r>
      <w:r>
        <w:rPr>
          <w:rFonts w:ascii="宋体"/>
          <w:color w:val="auto"/>
          <w:kern w:val="2"/>
          <w:sz w:val="21"/>
          <w:szCs w:val="28"/>
          <w:highlight w:val="none"/>
        </w:rPr>
        <w:t>.</w:t>
      </w:r>
      <w:r>
        <w:rPr>
          <w:rFonts w:ascii="宋体" w:hAnsi="宋体"/>
          <w:color w:val="auto"/>
          <w:kern w:val="2"/>
          <w:sz w:val="21"/>
          <w:szCs w:val="28"/>
          <w:highlight w:val="none"/>
        </w:rPr>
        <w:t xml:space="preserve">5 </w:t>
      </w:r>
      <w:r>
        <w:rPr>
          <w:rFonts w:hint="eastAsia" w:ascii="宋体" w:hAnsi="宋体"/>
          <w:color w:val="auto"/>
          <w:kern w:val="2"/>
          <w:sz w:val="21"/>
          <w:szCs w:val="28"/>
          <w:highlight w:val="none"/>
        </w:rPr>
        <w:t>不得向承包人和相关单位介绍或为配偶、子女、亲属参与同发包人工程建设管理合同有关的业务活动；不得以任何理由要求承包人和相关单位使用某种产品、材料和设备。</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三、承包人责任</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应与发包人保持正常的业务交往，按照有关法律法规和程序开展业务工作，严格执行工程建设的有关方针、政策，执行工程建设强制性标准，并遵守以下规定：</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3</w:t>
      </w:r>
      <w:r>
        <w:rPr>
          <w:rFonts w:ascii="宋体"/>
          <w:color w:val="auto"/>
          <w:kern w:val="2"/>
          <w:sz w:val="21"/>
          <w:szCs w:val="28"/>
          <w:highlight w:val="none"/>
        </w:rPr>
        <w:t>.</w:t>
      </w:r>
      <w:r>
        <w:rPr>
          <w:rFonts w:ascii="宋体" w:hAnsi="宋体"/>
          <w:color w:val="auto"/>
          <w:kern w:val="2"/>
          <w:sz w:val="21"/>
          <w:szCs w:val="28"/>
          <w:highlight w:val="none"/>
        </w:rPr>
        <w:t xml:space="preserve">1 </w:t>
      </w:r>
      <w:r>
        <w:rPr>
          <w:rFonts w:hint="eastAsia" w:ascii="宋体" w:hAnsi="宋体"/>
          <w:color w:val="auto"/>
          <w:kern w:val="2"/>
          <w:sz w:val="21"/>
          <w:szCs w:val="28"/>
          <w:highlight w:val="none"/>
        </w:rPr>
        <w:t>不得以任何理由向发包人及其工作人员索要、接受或赠送礼金、有价证券、贵重物品及回扣、好处费、感谢费等。</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3</w:t>
      </w:r>
      <w:r>
        <w:rPr>
          <w:rFonts w:ascii="宋体"/>
          <w:color w:val="auto"/>
          <w:kern w:val="2"/>
          <w:sz w:val="21"/>
          <w:szCs w:val="28"/>
          <w:highlight w:val="none"/>
        </w:rPr>
        <w:t>.</w:t>
      </w:r>
      <w:r>
        <w:rPr>
          <w:rFonts w:ascii="宋体" w:hAnsi="宋体"/>
          <w:color w:val="auto"/>
          <w:kern w:val="2"/>
          <w:sz w:val="21"/>
          <w:szCs w:val="28"/>
          <w:highlight w:val="none"/>
        </w:rPr>
        <w:t>2</w:t>
      </w:r>
      <w:r>
        <w:rPr>
          <w:rFonts w:hint="eastAsia" w:ascii="宋体" w:hAnsi="宋体"/>
          <w:color w:val="auto"/>
          <w:kern w:val="2"/>
          <w:sz w:val="21"/>
          <w:szCs w:val="28"/>
          <w:highlight w:val="none"/>
        </w:rPr>
        <w:t>不得以任何理由为发包人和相关单位报销应由对方或个人支付的费用。</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3</w:t>
      </w:r>
      <w:r>
        <w:rPr>
          <w:rFonts w:ascii="宋体"/>
          <w:color w:val="auto"/>
          <w:kern w:val="2"/>
          <w:sz w:val="21"/>
          <w:szCs w:val="28"/>
          <w:highlight w:val="none"/>
        </w:rPr>
        <w:t>.</w:t>
      </w:r>
      <w:r>
        <w:rPr>
          <w:rFonts w:ascii="宋体" w:hAnsi="宋体"/>
          <w:color w:val="auto"/>
          <w:kern w:val="2"/>
          <w:sz w:val="21"/>
          <w:szCs w:val="28"/>
          <w:highlight w:val="none"/>
        </w:rPr>
        <w:t>3</w:t>
      </w:r>
      <w:r>
        <w:rPr>
          <w:rFonts w:hint="eastAsia" w:ascii="宋体" w:hAnsi="宋体"/>
          <w:color w:val="auto"/>
          <w:kern w:val="2"/>
          <w:sz w:val="21"/>
          <w:szCs w:val="28"/>
          <w:highlight w:val="none"/>
        </w:rPr>
        <w:t>不得接受或暗示为发包人、相关单位或个人装修住房、婚丧嫁娶、配偶子女的工作安排以及出国（境）、旅游等提供方便。</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3</w:t>
      </w:r>
      <w:r>
        <w:rPr>
          <w:rFonts w:ascii="宋体"/>
          <w:color w:val="auto"/>
          <w:kern w:val="2"/>
          <w:sz w:val="21"/>
          <w:szCs w:val="28"/>
          <w:highlight w:val="none"/>
        </w:rPr>
        <w:t>.</w:t>
      </w:r>
      <w:r>
        <w:rPr>
          <w:rFonts w:ascii="宋体" w:hAnsi="宋体"/>
          <w:color w:val="auto"/>
          <w:kern w:val="2"/>
          <w:sz w:val="21"/>
          <w:szCs w:val="28"/>
          <w:highlight w:val="none"/>
        </w:rPr>
        <w:t>4</w:t>
      </w:r>
      <w:r>
        <w:rPr>
          <w:rFonts w:hint="eastAsia" w:ascii="宋体" w:hAnsi="宋体"/>
          <w:color w:val="auto"/>
          <w:kern w:val="2"/>
          <w:sz w:val="21"/>
          <w:szCs w:val="28"/>
          <w:highlight w:val="none"/>
        </w:rPr>
        <w:t>不得以任何理由为发包人、相关单位或个人组织有可能影响公正执行公务的宴请、健身、娱乐等活动。</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四、违约责任</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4</w:t>
      </w:r>
      <w:r>
        <w:rPr>
          <w:rFonts w:ascii="宋体"/>
          <w:color w:val="auto"/>
          <w:kern w:val="2"/>
          <w:sz w:val="21"/>
          <w:szCs w:val="28"/>
          <w:highlight w:val="none"/>
        </w:rPr>
        <w:t>.</w:t>
      </w:r>
      <w:r>
        <w:rPr>
          <w:rFonts w:ascii="宋体" w:hAnsi="宋体"/>
          <w:color w:val="auto"/>
          <w:kern w:val="2"/>
          <w:sz w:val="21"/>
          <w:szCs w:val="28"/>
          <w:highlight w:val="none"/>
        </w:rPr>
        <w:t>1</w:t>
      </w:r>
      <w:r>
        <w:rPr>
          <w:rFonts w:hint="eastAsia" w:ascii="宋体" w:hAnsi="宋体"/>
          <w:color w:val="auto"/>
          <w:kern w:val="2"/>
          <w:sz w:val="21"/>
          <w:szCs w:val="28"/>
          <w:highlight w:val="none"/>
        </w:rPr>
        <w:t>发包人工作人员有违反本责任书第一、二条责任行为的，依据有关法律、法规给予处理；涉嫌犯罪的，移交司法机关追究刑事责任；给承包人单位造成经济损失的，应予以赔偿。</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4</w:t>
      </w:r>
      <w:r>
        <w:rPr>
          <w:rFonts w:ascii="宋体"/>
          <w:color w:val="auto"/>
          <w:kern w:val="2"/>
          <w:sz w:val="21"/>
          <w:szCs w:val="28"/>
          <w:highlight w:val="none"/>
        </w:rPr>
        <w:t>.</w:t>
      </w:r>
      <w:r>
        <w:rPr>
          <w:rFonts w:ascii="宋体" w:hAnsi="宋体"/>
          <w:color w:val="auto"/>
          <w:kern w:val="2"/>
          <w:sz w:val="21"/>
          <w:szCs w:val="28"/>
          <w:highlight w:val="none"/>
        </w:rPr>
        <w:t xml:space="preserve">2 </w:t>
      </w:r>
      <w:r>
        <w:rPr>
          <w:rFonts w:hint="eastAsia" w:ascii="宋体" w:hAnsi="宋体"/>
          <w:color w:val="auto"/>
          <w:kern w:val="2"/>
          <w:sz w:val="21"/>
          <w:szCs w:val="28"/>
          <w:highlight w:val="none"/>
        </w:rPr>
        <w:t>承包人工作人员有违反本责任书第一、三条责任行为的，依据有关法律法规处理；涉嫌犯罪的，移交司法机关追究刑事责任；给发包人单位造成经济损失的，应予以赔偿。</w:t>
      </w:r>
    </w:p>
    <w:p>
      <w:pPr>
        <w:adjustRightInd/>
        <w:snapToGrid w:val="0"/>
        <w:ind w:firstLine="420"/>
        <w:jc w:val="both"/>
        <w:textAlignment w:val="auto"/>
        <w:rPr>
          <w:rFonts w:ascii="宋体"/>
          <w:color w:val="auto"/>
          <w:kern w:val="2"/>
          <w:sz w:val="21"/>
          <w:szCs w:val="28"/>
          <w:highlight w:val="none"/>
        </w:rPr>
      </w:pPr>
      <w:r>
        <w:rPr>
          <w:rFonts w:ascii="宋体" w:hAnsi="宋体"/>
          <w:color w:val="auto"/>
          <w:kern w:val="2"/>
          <w:sz w:val="21"/>
          <w:szCs w:val="28"/>
          <w:highlight w:val="none"/>
        </w:rPr>
        <w:t>4</w:t>
      </w:r>
      <w:r>
        <w:rPr>
          <w:rFonts w:ascii="宋体"/>
          <w:color w:val="auto"/>
          <w:kern w:val="2"/>
          <w:sz w:val="21"/>
          <w:szCs w:val="28"/>
          <w:highlight w:val="none"/>
        </w:rPr>
        <w:t>.</w:t>
      </w:r>
      <w:r>
        <w:rPr>
          <w:rFonts w:ascii="宋体" w:hAnsi="宋体"/>
          <w:color w:val="auto"/>
          <w:kern w:val="2"/>
          <w:sz w:val="21"/>
          <w:szCs w:val="28"/>
          <w:highlight w:val="none"/>
        </w:rPr>
        <w:t xml:space="preserve">3 </w:t>
      </w:r>
      <w:r>
        <w:rPr>
          <w:rFonts w:hint="eastAsia" w:ascii="宋体" w:hAnsi="宋体"/>
          <w:color w:val="auto"/>
          <w:kern w:val="2"/>
          <w:sz w:val="21"/>
          <w:szCs w:val="28"/>
          <w:highlight w:val="none"/>
        </w:rPr>
        <w:t>本责任书作为建设工程合同的组成部分，与建设工程合同具有同等法律效力。经双方签署后立即生效。</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五、责任书有效期</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本责任书的有效期为双方签署之日起至该工程项目竣工验收合格时止。</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六、责任书份数</w:t>
      </w:r>
    </w:p>
    <w:p>
      <w:pPr>
        <w:adjustRightInd/>
        <w:snapToGrid w:val="0"/>
        <w:ind w:firstLine="420"/>
        <w:jc w:val="both"/>
        <w:textAlignment w:val="auto"/>
        <w:rPr>
          <w:rFonts w:ascii="宋体"/>
          <w:color w:val="auto"/>
          <w:kern w:val="2"/>
          <w:sz w:val="21"/>
          <w:szCs w:val="28"/>
          <w:highlight w:val="none"/>
        </w:rPr>
      </w:pPr>
      <w:r>
        <w:rPr>
          <w:rFonts w:hint="eastAsia" w:ascii="宋体" w:hAnsi="宋体"/>
          <w:color w:val="auto"/>
          <w:kern w:val="2"/>
          <w:sz w:val="21"/>
          <w:szCs w:val="28"/>
          <w:highlight w:val="none"/>
        </w:rPr>
        <w:t>本责任书一式二份，发包人承包人各执一份，具有同等效力。</w:t>
      </w:r>
    </w:p>
    <w:p>
      <w:pPr>
        <w:adjustRightInd/>
        <w:snapToGrid w:val="0"/>
        <w:ind w:firstLine="0" w:firstLineChars="0"/>
        <w:jc w:val="both"/>
        <w:textAlignment w:val="auto"/>
        <w:rPr>
          <w:rFonts w:ascii="宋体"/>
          <w:color w:val="auto"/>
          <w:kern w:val="2"/>
          <w:sz w:val="21"/>
          <w:szCs w:val="28"/>
          <w:highlight w:val="none"/>
        </w:rPr>
      </w:pP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发包人：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（公章）</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承包人：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（公章）</w:t>
      </w:r>
      <w:r>
        <w:rPr>
          <w:rFonts w:ascii="宋体" w:hAnsi="宋体"/>
          <w:color w:val="auto"/>
          <w:kern w:val="2"/>
          <w:sz w:val="21"/>
          <w:szCs w:val="24"/>
          <w:highlight w:val="non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法定地址：</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法定地址：</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法定代表人或其</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法定代表人或其</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委托代理人：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（签字）</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委托代理人：</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（签字）</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电话：</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电话：</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传真：</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传真：</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电子邮箱：</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电子邮箱：</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开户银行：</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开户银行：</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帐号：</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帐号：</w:t>
      </w:r>
      <w:r>
        <w:rPr>
          <w:rFonts w:ascii="宋体" w:hAnsi="宋体"/>
          <w:color w:val="auto"/>
          <w:kern w:val="2"/>
          <w:sz w:val="21"/>
          <w:szCs w:val="24"/>
          <w:highlight w:val="none"/>
          <w:u w:val="single"/>
        </w:rPr>
        <w:t xml:space="preserve">                                       </w:t>
      </w:r>
    </w:p>
    <w:p>
      <w:pPr>
        <w:adjustRightInd/>
        <w:snapToGrid w:val="0"/>
        <w:ind w:firstLine="0" w:firstLineChars="0"/>
        <w:jc w:val="both"/>
        <w:textAlignment w:val="auto"/>
        <w:rPr>
          <w:rFonts w:ascii="宋体" w:hAnsi="宋体"/>
          <w:color w:val="auto"/>
          <w:kern w:val="2"/>
          <w:sz w:val="21"/>
          <w:szCs w:val="24"/>
          <w:highlight w:val="none"/>
        </w:rPr>
      </w:pPr>
      <w:r>
        <w:rPr>
          <w:rFonts w:hint="eastAsia" w:ascii="宋体" w:hAnsi="宋体"/>
          <w:color w:val="auto"/>
          <w:kern w:val="2"/>
          <w:sz w:val="21"/>
          <w:szCs w:val="24"/>
          <w:highlight w:val="none"/>
        </w:rPr>
        <w:t>邮政编码：</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邮政编码：</w:t>
      </w:r>
      <w:r>
        <w:rPr>
          <w:rFonts w:ascii="宋体" w:hAnsi="宋体"/>
          <w:color w:val="auto"/>
          <w:kern w:val="2"/>
          <w:sz w:val="21"/>
          <w:szCs w:val="24"/>
          <w:highlight w:val="none"/>
          <w:u w:val="single"/>
        </w:rPr>
        <w:t xml:space="preserve">                                    </w:t>
      </w:r>
      <w:r>
        <w:rPr>
          <w:rFonts w:ascii="宋体" w:hAnsi="宋体"/>
          <w:color w:val="auto"/>
          <w:kern w:val="2"/>
          <w:sz w:val="21"/>
          <w:szCs w:val="24"/>
          <w:highlight w:val="none"/>
        </w:rPr>
        <w:t xml:space="preserve"> </w:t>
      </w:r>
    </w:p>
    <w:p>
      <w:pPr>
        <w:adjustRightInd/>
        <w:snapToGrid w:val="0"/>
        <w:spacing w:line="240" w:lineRule="auto"/>
        <w:ind w:firstLine="0" w:firstLineChars="0"/>
        <w:jc w:val="both"/>
        <w:textAlignment w:val="auto"/>
        <w:rPr>
          <w:rFonts w:ascii="宋体"/>
          <w:color w:val="auto"/>
          <w:kern w:val="2"/>
          <w:sz w:val="21"/>
          <w:szCs w:val="24"/>
          <w:highlight w:val="none"/>
        </w:rPr>
      </w:pPr>
      <w:r>
        <w:rPr>
          <w:rFonts w:hint="eastAsia" w:ascii="宋体" w:hAnsi="宋体"/>
          <w:color w:val="auto"/>
          <w:kern w:val="2"/>
          <w:sz w:val="21"/>
          <w:szCs w:val="24"/>
          <w:highlight w:val="none"/>
        </w:rPr>
        <w:t>监督单位：</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（盖章）</w:t>
      </w:r>
      <w:r>
        <w:rPr>
          <w:rFonts w:ascii="宋体" w:hAnsi="宋体"/>
          <w:color w:val="auto"/>
          <w:kern w:val="2"/>
          <w:sz w:val="21"/>
          <w:szCs w:val="24"/>
          <w:highlight w:val="none"/>
        </w:rPr>
        <w:t xml:space="preserve"> </w:t>
      </w:r>
      <w:r>
        <w:rPr>
          <w:rFonts w:hint="eastAsia" w:ascii="宋体" w:hAnsi="宋体"/>
          <w:color w:val="auto"/>
          <w:kern w:val="2"/>
          <w:sz w:val="21"/>
          <w:szCs w:val="24"/>
          <w:highlight w:val="none"/>
        </w:rPr>
        <w:t>监督单位：</w:t>
      </w:r>
      <w:r>
        <w:rPr>
          <w:rFonts w:ascii="宋体" w:hAnsi="宋体"/>
          <w:color w:val="auto"/>
          <w:kern w:val="2"/>
          <w:sz w:val="21"/>
          <w:szCs w:val="24"/>
          <w:highlight w:val="none"/>
          <w:u w:val="single"/>
        </w:rPr>
        <w:t xml:space="preserve">                           </w:t>
      </w:r>
      <w:r>
        <w:rPr>
          <w:rFonts w:hint="eastAsia" w:ascii="宋体" w:hAnsi="宋体"/>
          <w:color w:val="auto"/>
          <w:kern w:val="2"/>
          <w:sz w:val="21"/>
          <w:szCs w:val="24"/>
          <w:highlight w:val="none"/>
        </w:rPr>
        <w:t>（盖章）</w:t>
      </w:r>
    </w:p>
    <w:bookmarkEnd w:id="852"/>
    <w:bookmarkEnd w:id="853"/>
    <w:bookmarkEnd w:id="854"/>
    <w:bookmarkEnd w:id="855"/>
    <w:p>
      <w:pPr>
        <w:widowControl/>
        <w:tabs>
          <w:tab w:val="left" w:pos="720"/>
        </w:tabs>
        <w:adjustRightInd/>
        <w:spacing w:line="240" w:lineRule="auto"/>
        <w:ind w:right="240" w:firstLine="0" w:firstLineChars="0"/>
        <w:jc w:val="right"/>
        <w:textAlignment w:val="auto"/>
        <w:rPr>
          <w:rFonts w:asciiTheme="minorEastAsia" w:hAnsiTheme="minorEastAsia" w:eastAsiaTheme="minorEastAsia"/>
          <w:color w:val="auto"/>
          <w:szCs w:val="24"/>
          <w:highlight w:val="none"/>
        </w:rPr>
      </w:pPr>
    </w:p>
    <w:p>
      <w:pPr>
        <w:rPr>
          <w:color w:val="auto"/>
          <w:highlight w:val="none"/>
        </w:rPr>
      </w:pPr>
    </w:p>
    <w:p>
      <w:pPr>
        <w:pStyle w:val="2"/>
        <w:rPr>
          <w:color w:val="auto"/>
          <w:highlight w:val="none"/>
        </w:rPr>
      </w:pPr>
      <w:bookmarkStart w:id="907" w:name="_Toc432430474"/>
      <w:bookmarkStart w:id="908" w:name="_Toc453520628"/>
      <w:bookmarkStart w:id="909" w:name="_Toc453622070"/>
    </w:p>
    <w:p>
      <w:pPr>
        <w:pStyle w:val="2"/>
        <w:rPr>
          <w:color w:val="auto"/>
          <w:highlight w:val="none"/>
        </w:rPr>
      </w:pPr>
    </w:p>
    <w:p>
      <w:pPr>
        <w:pStyle w:val="2"/>
        <w:rPr>
          <w:color w:val="auto"/>
          <w:highlight w:val="none"/>
        </w:rPr>
      </w:pPr>
      <w:bookmarkStart w:id="910" w:name="_Toc462069435"/>
      <w:bookmarkStart w:id="911" w:name="_Toc462066501"/>
      <w:bookmarkStart w:id="912" w:name="_Toc518557365"/>
      <w:r>
        <w:rPr>
          <w:color w:val="auto"/>
          <w:highlight w:val="none"/>
        </w:rPr>
        <w:t>第四部分</w:t>
      </w:r>
      <w:bookmarkEnd w:id="685"/>
      <w:r>
        <w:rPr>
          <w:color w:val="auto"/>
          <w:highlight w:val="none"/>
        </w:rPr>
        <w:t>技术需求</w:t>
      </w:r>
      <w:bookmarkEnd w:id="907"/>
      <w:bookmarkStart w:id="913" w:name="_Toc419385609"/>
      <w:bookmarkStart w:id="914" w:name="_Toc419298451"/>
      <w:r>
        <w:rPr>
          <w:color w:val="auto"/>
          <w:highlight w:val="none"/>
        </w:rPr>
        <w:t>书</w:t>
      </w:r>
      <w:bookmarkEnd w:id="908"/>
      <w:bookmarkEnd w:id="909"/>
      <w:bookmarkEnd w:id="910"/>
      <w:bookmarkEnd w:id="911"/>
      <w:bookmarkEnd w:id="912"/>
    </w:p>
    <w:p>
      <w:pPr>
        <w:rPr>
          <w:color w:val="auto"/>
          <w:highlight w:val="none"/>
        </w:rPr>
      </w:pPr>
    </w:p>
    <w:p>
      <w:pPr>
        <w:rPr>
          <w:color w:val="auto"/>
          <w:highlight w:val="none"/>
        </w:rPr>
      </w:pPr>
    </w:p>
    <w:bookmarkEnd w:id="913"/>
    <w:bookmarkEnd w:id="914"/>
    <w:p>
      <w:pPr>
        <w:rPr>
          <w:color w:val="auto"/>
          <w:highlight w:val="none"/>
        </w:rPr>
      </w:pPr>
    </w:p>
    <w:p>
      <w:pPr>
        <w:rPr>
          <w:color w:val="auto"/>
          <w:highlight w:val="none"/>
        </w:rPr>
      </w:pPr>
    </w:p>
    <w:p>
      <w:pPr>
        <w:pStyle w:val="128"/>
        <w:spacing w:line="360" w:lineRule="auto"/>
        <w:jc w:val="center"/>
        <w:rPr>
          <w:color w:val="auto"/>
          <w:szCs w:val="21"/>
          <w:highlight w:val="none"/>
        </w:rPr>
        <w:sectPr>
          <w:footerReference r:id="rId14" w:type="default"/>
          <w:pgSz w:w="11906" w:h="16838"/>
          <w:pgMar w:top="1418" w:right="1418" w:bottom="1418" w:left="1588" w:header="851" w:footer="851" w:gutter="0"/>
          <w:cols w:space="720" w:num="1"/>
          <w:docGrid w:linePitch="312" w:charSpace="0"/>
        </w:sectPr>
      </w:pPr>
      <w:bookmarkStart w:id="915" w:name="_Toc432430515"/>
      <w:bookmarkStart w:id="916" w:name="_Toc241827249"/>
    </w:p>
    <w:p>
      <w:pPr>
        <w:pStyle w:val="2"/>
        <w:spacing w:before="0" w:after="0" w:line="240" w:lineRule="auto"/>
        <w:rPr>
          <w:rFonts w:asciiTheme="minorEastAsia" w:hAnsiTheme="minorEastAsia" w:eastAsiaTheme="minorEastAsia"/>
          <w:b w:val="0"/>
          <w:color w:val="auto"/>
          <w:sz w:val="30"/>
          <w:szCs w:val="30"/>
          <w:highlight w:val="none"/>
        </w:rPr>
      </w:pPr>
      <w:bookmarkStart w:id="917" w:name="_Toc464222387"/>
      <w:bookmarkStart w:id="918" w:name="_Toc464226195"/>
      <w:bookmarkStart w:id="919" w:name="_Toc478744951"/>
      <w:bookmarkStart w:id="920" w:name="_Toc518557366"/>
      <w:bookmarkStart w:id="921" w:name="_Toc505179927"/>
      <w:bookmarkStart w:id="922" w:name="_Toc478815619"/>
      <w:bookmarkStart w:id="923" w:name="_Toc484766712"/>
      <w:r>
        <w:rPr>
          <w:rFonts w:hint="eastAsia" w:asciiTheme="minorEastAsia" w:hAnsiTheme="minorEastAsia" w:eastAsiaTheme="minorEastAsia"/>
          <w:b w:val="0"/>
          <w:color w:val="auto"/>
          <w:sz w:val="30"/>
          <w:szCs w:val="30"/>
          <w:highlight w:val="none"/>
        </w:rPr>
        <w:t>技术需求书</w:t>
      </w:r>
      <w:bookmarkEnd w:id="917"/>
      <w:bookmarkEnd w:id="918"/>
      <w:bookmarkEnd w:id="919"/>
      <w:bookmarkEnd w:id="920"/>
      <w:bookmarkEnd w:id="921"/>
      <w:bookmarkEnd w:id="922"/>
      <w:bookmarkEnd w:id="923"/>
    </w:p>
    <w:p>
      <w:pPr>
        <w:keepNext/>
        <w:rPr>
          <w:rFonts w:asciiTheme="minorEastAsia" w:hAnsiTheme="minorEastAsia" w:eastAsiaTheme="minorEastAsia"/>
          <w:color w:val="auto"/>
          <w:highlight w:val="none"/>
        </w:rPr>
      </w:pPr>
    </w:p>
    <w:bookmarkEnd w:id="915"/>
    <w:p>
      <w:pPr>
        <w:snapToGrid w:val="0"/>
        <w:spacing w:afterLines="50"/>
        <w:rPr>
          <w:rFonts w:ascii="宋体"/>
          <w:bCs/>
          <w:color w:val="auto"/>
          <w:highlight w:val="none"/>
        </w:rPr>
      </w:pPr>
      <w:bookmarkStart w:id="924" w:name="_Toc462066502"/>
      <w:bookmarkStart w:id="925" w:name="_Toc453520629"/>
      <w:bookmarkStart w:id="926" w:name="_Toc462069436"/>
      <w:bookmarkStart w:id="927" w:name="_Toc453622071"/>
      <w:bookmarkStart w:id="928" w:name="_Toc317671872"/>
      <w:bookmarkStart w:id="929" w:name="_Toc344208599"/>
      <w:bookmarkStart w:id="930" w:name="_Toc150404637"/>
      <w:r>
        <w:rPr>
          <w:rFonts w:hint="eastAsia" w:ascii="宋体"/>
          <w:bCs/>
          <w:color w:val="auto"/>
          <w:highlight w:val="none"/>
        </w:rPr>
        <w:t>1、项目名称： 中国劳动关系学院北京新馆人文环境与数字图书馆建设工程</w:t>
      </w:r>
    </w:p>
    <w:p>
      <w:pPr>
        <w:snapToGrid w:val="0"/>
        <w:spacing w:afterLines="50"/>
        <w:rPr>
          <w:rFonts w:ascii="宋体"/>
          <w:bCs/>
          <w:color w:val="auto"/>
          <w:highlight w:val="none"/>
        </w:rPr>
      </w:pPr>
      <w:r>
        <w:rPr>
          <w:rFonts w:hint="eastAsia" w:ascii="宋体"/>
          <w:bCs/>
          <w:color w:val="auto"/>
          <w:highlight w:val="none"/>
        </w:rPr>
        <w:t>2、采购范围及内容：改造施工，</w:t>
      </w:r>
      <w:r>
        <w:rPr>
          <w:rFonts w:hint="eastAsia"/>
          <w:color w:val="auto"/>
          <w:szCs w:val="24"/>
          <w:highlight w:val="none"/>
        </w:rPr>
        <w:t>工程量清单范围内的所有内容。（详见后附清单）</w:t>
      </w:r>
    </w:p>
    <w:p>
      <w:pPr>
        <w:snapToGrid w:val="0"/>
        <w:spacing w:afterLines="50"/>
        <w:rPr>
          <w:rFonts w:ascii="宋体"/>
          <w:bCs/>
          <w:color w:val="auto"/>
          <w:highlight w:val="none"/>
        </w:rPr>
      </w:pPr>
      <w:r>
        <w:rPr>
          <w:rFonts w:hint="eastAsia" w:ascii="宋体"/>
          <w:bCs/>
          <w:color w:val="auto"/>
          <w:highlight w:val="none"/>
        </w:rPr>
        <w:t>3、建设地点：中国劳动关系学院北京校区</w:t>
      </w:r>
    </w:p>
    <w:p>
      <w:pPr>
        <w:snapToGrid w:val="0"/>
        <w:spacing w:afterLines="50"/>
        <w:rPr>
          <w:rFonts w:ascii="宋体"/>
          <w:bCs/>
          <w:color w:val="auto"/>
          <w:highlight w:val="none"/>
        </w:rPr>
      </w:pPr>
      <w:r>
        <w:rPr>
          <w:rFonts w:hint="eastAsia" w:ascii="宋体"/>
          <w:bCs/>
          <w:color w:val="auto"/>
          <w:highlight w:val="none"/>
        </w:rPr>
        <w:t>4、现场施工条件：水、电等现场施工条件已具备。</w:t>
      </w:r>
    </w:p>
    <w:p>
      <w:pPr>
        <w:snapToGrid w:val="0"/>
        <w:spacing w:afterLines="50"/>
        <w:rPr>
          <w:rFonts w:ascii="宋体"/>
          <w:bCs/>
          <w:color w:val="auto"/>
          <w:highlight w:val="none"/>
        </w:rPr>
      </w:pPr>
      <w:r>
        <w:rPr>
          <w:rFonts w:hint="eastAsia" w:ascii="宋体"/>
          <w:bCs/>
          <w:color w:val="auto"/>
          <w:highlight w:val="none"/>
        </w:rPr>
        <w:t>5、工期要求：参照前附表并满足甲方要求。</w:t>
      </w:r>
    </w:p>
    <w:p>
      <w:pPr>
        <w:snapToGrid w:val="0"/>
        <w:spacing w:afterLines="50"/>
        <w:rPr>
          <w:rFonts w:ascii="宋体"/>
          <w:bCs/>
          <w:color w:val="auto"/>
          <w:highlight w:val="none"/>
        </w:rPr>
      </w:pPr>
      <w:r>
        <w:rPr>
          <w:rFonts w:hint="eastAsia" w:ascii="宋体"/>
          <w:bCs/>
          <w:color w:val="auto"/>
          <w:highlight w:val="none"/>
        </w:rPr>
        <w:t>6、施工技术要求：达到国家验收规范合格标准。</w:t>
      </w:r>
    </w:p>
    <w:p>
      <w:pPr>
        <w:snapToGrid w:val="0"/>
        <w:spacing w:afterLines="50"/>
        <w:rPr>
          <w:rFonts w:ascii="宋体"/>
          <w:bCs/>
          <w:color w:val="auto"/>
          <w:highlight w:val="none"/>
        </w:rPr>
      </w:pPr>
      <w:r>
        <w:rPr>
          <w:rFonts w:hint="eastAsia" w:ascii="宋体"/>
          <w:bCs/>
          <w:color w:val="auto"/>
          <w:highlight w:val="none"/>
        </w:rPr>
        <w:t>7、合同形式 ：固定单价</w:t>
      </w:r>
    </w:p>
    <w:p>
      <w:pPr>
        <w:snapToGrid w:val="0"/>
        <w:spacing w:afterLines="50"/>
        <w:rPr>
          <w:rFonts w:ascii="宋体"/>
          <w:bCs/>
          <w:color w:val="auto"/>
          <w:highlight w:val="none"/>
        </w:rPr>
      </w:pPr>
      <w:r>
        <w:rPr>
          <w:rFonts w:hint="eastAsia" w:ascii="宋体"/>
          <w:bCs/>
          <w:color w:val="auto"/>
          <w:highlight w:val="none"/>
        </w:rPr>
        <w:t>8、承包方式：包工包料</w:t>
      </w:r>
    </w:p>
    <w:p>
      <w:pPr>
        <w:snapToGrid w:val="0"/>
        <w:spacing w:afterLines="50"/>
        <w:rPr>
          <w:rFonts w:ascii="宋体"/>
          <w:bCs/>
          <w:color w:val="auto"/>
          <w:highlight w:val="none"/>
        </w:rPr>
      </w:pPr>
      <w:r>
        <w:rPr>
          <w:rFonts w:hint="eastAsia" w:ascii="宋体"/>
          <w:bCs/>
          <w:color w:val="auto"/>
          <w:highlight w:val="none"/>
        </w:rPr>
        <w:t>9、质量要求：合格</w:t>
      </w:r>
    </w:p>
    <w:p>
      <w:pPr>
        <w:snapToGrid w:val="0"/>
        <w:spacing w:afterLines="50"/>
        <w:rPr>
          <w:rFonts w:ascii="宋体"/>
          <w:bCs/>
          <w:color w:val="auto"/>
          <w:highlight w:val="none"/>
        </w:rPr>
      </w:pPr>
      <w:r>
        <w:rPr>
          <w:rFonts w:hint="eastAsia" w:ascii="宋体"/>
          <w:bCs/>
          <w:color w:val="auto"/>
          <w:highlight w:val="none"/>
        </w:rPr>
        <w:t xml:space="preserve">10、工程保修期限：符合国家、行业及北京市现行标准。  </w:t>
      </w:r>
    </w:p>
    <w:p>
      <w:pPr>
        <w:snapToGrid w:val="0"/>
        <w:spacing w:afterLines="50"/>
        <w:rPr>
          <w:rFonts w:ascii="宋体"/>
          <w:bCs/>
          <w:color w:val="auto"/>
          <w:highlight w:val="none"/>
        </w:rPr>
      </w:pPr>
      <w:r>
        <w:rPr>
          <w:rFonts w:hint="eastAsia" w:ascii="宋体"/>
          <w:bCs/>
          <w:color w:val="auto"/>
          <w:highlight w:val="none"/>
        </w:rPr>
        <w:t>11、本工程适用的规范和标准：按国家、行业及北京市现行施工规范和标准执行。</w:t>
      </w:r>
    </w:p>
    <w:p>
      <w:pPr>
        <w:snapToGrid w:val="0"/>
        <w:spacing w:afterLines="50"/>
        <w:rPr>
          <w:rFonts w:ascii="宋体"/>
          <w:bCs/>
          <w:color w:val="auto"/>
          <w:highlight w:val="none"/>
        </w:rPr>
      </w:pPr>
      <w:r>
        <w:rPr>
          <w:rFonts w:hint="eastAsia" w:ascii="宋体"/>
          <w:bCs/>
          <w:color w:val="auto"/>
          <w:highlight w:val="none"/>
        </w:rPr>
        <w:t>12、拟派项目经理须已在中央政府采购中心备案。</w:t>
      </w:r>
    </w:p>
    <w:p>
      <w:pPr>
        <w:snapToGrid w:val="0"/>
        <w:spacing w:afterLines="50"/>
        <w:ind w:left="360" w:leftChars="150" w:firstLine="120" w:firstLineChars="50"/>
        <w:rPr>
          <w:rFonts w:ascii="宋体"/>
          <w:bCs/>
          <w:color w:val="auto"/>
          <w:highlight w:val="none"/>
        </w:rPr>
      </w:pPr>
      <w:r>
        <w:rPr>
          <w:rFonts w:hint="eastAsia" w:ascii="宋体"/>
          <w:bCs/>
          <w:color w:val="auto"/>
          <w:highlight w:val="none"/>
        </w:rPr>
        <w:t>13、工程量清单见附件。</w:t>
      </w:r>
    </w:p>
    <w:p>
      <w:pPr>
        <w:snapToGrid w:val="0"/>
        <w:spacing w:afterLines="50"/>
        <w:ind w:left="360" w:leftChars="150" w:firstLine="120" w:firstLineChars="50"/>
        <w:rPr>
          <w:rFonts w:ascii="宋体"/>
          <w:bCs/>
          <w:color w:val="auto"/>
          <w:highlight w:val="none"/>
        </w:rPr>
      </w:pPr>
      <w:r>
        <w:rPr>
          <w:rFonts w:hint="eastAsia" w:ascii="宋体"/>
          <w:bCs/>
          <w:color w:val="auto"/>
          <w:highlight w:val="none"/>
        </w:rPr>
        <w:t>14.项目备案及相关要求符合中央国家机关施工定点及当地施工管理要求。</w:t>
      </w:r>
    </w:p>
    <w:p>
      <w:pPr>
        <w:spacing w:line="400" w:lineRule="exact"/>
        <w:rPr>
          <w:color w:val="auto"/>
          <w:szCs w:val="21"/>
          <w:highlight w:val="none"/>
        </w:rPr>
      </w:pPr>
      <w:r>
        <w:rPr>
          <w:rFonts w:hint="eastAsia" w:ascii="宋体"/>
          <w:bCs/>
          <w:color w:val="auto"/>
          <w:highlight w:val="none"/>
        </w:rPr>
        <w:t>15．</w:t>
      </w:r>
      <w:r>
        <w:rPr>
          <w:rFonts w:hint="eastAsia" w:ascii="宋体" w:hAnsi="宋体"/>
          <w:color w:val="auto"/>
          <w:szCs w:val="24"/>
          <w:highlight w:val="none"/>
        </w:rPr>
        <w:t>供应商须为《</w:t>
      </w:r>
      <w:r>
        <w:rPr>
          <w:rFonts w:ascii="宋体" w:hAnsi="宋体"/>
          <w:color w:val="auto"/>
          <w:szCs w:val="24"/>
          <w:highlight w:val="none"/>
        </w:rPr>
        <w:t>201</w:t>
      </w:r>
      <w:r>
        <w:rPr>
          <w:rFonts w:hint="eastAsia" w:ascii="宋体" w:hAnsi="宋体"/>
          <w:color w:val="auto"/>
          <w:szCs w:val="24"/>
          <w:highlight w:val="none"/>
        </w:rPr>
        <w:t>8</w:t>
      </w:r>
      <w:r>
        <w:rPr>
          <w:rFonts w:ascii="宋体" w:hAnsi="宋体"/>
          <w:color w:val="auto"/>
          <w:szCs w:val="24"/>
          <w:highlight w:val="none"/>
        </w:rPr>
        <w:t>-20</w:t>
      </w:r>
      <w:r>
        <w:rPr>
          <w:rFonts w:hint="eastAsia" w:ascii="宋体" w:hAnsi="宋体"/>
          <w:color w:val="auto"/>
          <w:szCs w:val="24"/>
          <w:highlight w:val="none"/>
        </w:rPr>
        <w:t>20</w:t>
      </w:r>
      <w:r>
        <w:rPr>
          <w:rFonts w:ascii="宋体" w:hAnsi="宋体"/>
          <w:color w:val="auto"/>
          <w:szCs w:val="24"/>
          <w:highlight w:val="none"/>
        </w:rPr>
        <w:t>年度中央国家机关工程定点施工企业名录</w:t>
      </w:r>
      <w:r>
        <w:rPr>
          <w:rFonts w:hint="eastAsia" w:ascii="宋体" w:hAnsi="宋体"/>
          <w:color w:val="auto"/>
          <w:szCs w:val="24"/>
          <w:highlight w:val="none"/>
        </w:rPr>
        <w:t>》内第一包房屋建筑工程施工总承包、或第二包建筑装饰装修工程的定点供应商；</w:t>
      </w:r>
      <w:r>
        <w:rPr>
          <w:rFonts w:hint="eastAsia"/>
          <w:b/>
          <w:color w:val="auto"/>
          <w:szCs w:val="21"/>
          <w:highlight w:val="none"/>
        </w:rPr>
        <w:t>投标人拟派项目经理须为受聘于投标人，具备建筑工程专业贰级（含）以上注册建造师执业资格，具备有效的安全生产考核合格证书（B本）。项目经理应参加项目响应谈判。</w:t>
      </w:r>
    </w:p>
    <w:p>
      <w:pPr>
        <w:snapToGrid w:val="0"/>
        <w:spacing w:afterLines="50"/>
        <w:ind w:left="360" w:leftChars="150" w:firstLine="120" w:firstLineChars="50"/>
        <w:rPr>
          <w:rFonts w:ascii="宋体"/>
          <w:bCs/>
          <w:color w:val="auto"/>
          <w:highlight w:val="none"/>
        </w:rPr>
      </w:pPr>
    </w:p>
    <w:p>
      <w:pPr>
        <w:widowControl/>
        <w:adjustRightInd/>
        <w:spacing w:line="240" w:lineRule="auto"/>
        <w:ind w:firstLine="0" w:firstLineChars="0"/>
        <w:textAlignment w:val="auto"/>
        <w:rPr>
          <w:rFonts w:ascii="宋体"/>
          <w:bCs/>
          <w:color w:val="auto"/>
          <w:highlight w:val="none"/>
        </w:rPr>
      </w:pPr>
      <w:r>
        <w:rPr>
          <w:rFonts w:ascii="宋体"/>
          <w:bCs/>
          <w:color w:val="auto"/>
          <w:highlight w:val="none"/>
        </w:rPr>
        <w:br w:type="page"/>
      </w:r>
    </w:p>
    <w:p>
      <w:pPr>
        <w:snapToGrid w:val="0"/>
        <w:spacing w:afterLines="50"/>
        <w:ind w:left="360" w:leftChars="150" w:firstLine="120" w:firstLineChars="50"/>
        <w:rPr>
          <w:rFonts w:ascii="宋体"/>
          <w:color w:val="auto"/>
          <w:highlight w:val="none"/>
        </w:rPr>
      </w:pPr>
    </w:p>
    <w:p>
      <w:pPr>
        <w:pStyle w:val="2"/>
        <w:numPr>
          <w:ilvl w:val="0"/>
          <w:numId w:val="0"/>
        </w:numPr>
        <w:spacing w:line="360" w:lineRule="auto"/>
        <w:rPr>
          <w:color w:val="auto"/>
          <w:highlight w:val="none"/>
        </w:rPr>
      </w:pPr>
      <w:bookmarkStart w:id="931" w:name="_Toc518557367"/>
      <w:r>
        <w:rPr>
          <w:color w:val="auto"/>
          <w:highlight w:val="none"/>
        </w:rPr>
        <w:t>第五部分评审办法</w:t>
      </w:r>
      <w:bookmarkEnd w:id="924"/>
      <w:bookmarkEnd w:id="925"/>
      <w:bookmarkEnd w:id="926"/>
      <w:bookmarkEnd w:id="927"/>
      <w:bookmarkEnd w:id="931"/>
    </w:p>
    <w:tbl>
      <w:tblPr>
        <w:tblStyle w:val="4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559"/>
        <w:gridCol w:w="552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675" w:type="dxa"/>
            <w:vAlign w:val="center"/>
          </w:tcPr>
          <w:p>
            <w:pPr>
              <w:pStyle w:val="145"/>
              <w:rPr>
                <w:b/>
                <w:color w:val="auto"/>
                <w:highlight w:val="none"/>
              </w:rPr>
            </w:pPr>
            <w:r>
              <w:rPr>
                <w:b/>
                <w:color w:val="auto"/>
                <w:highlight w:val="none"/>
              </w:rPr>
              <w:t>序号</w:t>
            </w:r>
          </w:p>
        </w:tc>
        <w:tc>
          <w:tcPr>
            <w:tcW w:w="2552" w:type="dxa"/>
            <w:gridSpan w:val="2"/>
            <w:vAlign w:val="center"/>
          </w:tcPr>
          <w:p>
            <w:pPr>
              <w:pStyle w:val="145"/>
              <w:rPr>
                <w:b/>
                <w:color w:val="auto"/>
                <w:highlight w:val="none"/>
              </w:rPr>
            </w:pPr>
            <w:r>
              <w:rPr>
                <w:b/>
                <w:color w:val="auto"/>
                <w:highlight w:val="none"/>
              </w:rPr>
              <w:t>评审因素</w:t>
            </w:r>
          </w:p>
        </w:tc>
        <w:tc>
          <w:tcPr>
            <w:tcW w:w="5528" w:type="dxa"/>
            <w:vAlign w:val="center"/>
          </w:tcPr>
          <w:p>
            <w:pPr>
              <w:pStyle w:val="145"/>
              <w:rPr>
                <w:b/>
                <w:color w:val="auto"/>
                <w:highlight w:val="none"/>
              </w:rPr>
            </w:pPr>
            <w:r>
              <w:rPr>
                <w:b/>
                <w:color w:val="auto"/>
                <w:highlight w:val="none"/>
              </w:rPr>
              <w:t>评分标准</w:t>
            </w:r>
          </w:p>
        </w:tc>
        <w:tc>
          <w:tcPr>
            <w:tcW w:w="709" w:type="dxa"/>
            <w:vAlign w:val="center"/>
          </w:tcPr>
          <w:p>
            <w:pPr>
              <w:pStyle w:val="145"/>
              <w:rPr>
                <w:b/>
                <w:color w:val="auto"/>
                <w:highlight w:val="none"/>
              </w:rPr>
            </w:pPr>
            <w:r>
              <w:rPr>
                <w:b/>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3" w:hRule="atLeast"/>
        </w:trPr>
        <w:tc>
          <w:tcPr>
            <w:tcW w:w="675" w:type="dxa"/>
            <w:vAlign w:val="center"/>
          </w:tcPr>
          <w:p>
            <w:pPr>
              <w:pStyle w:val="145"/>
              <w:rPr>
                <w:color w:val="auto"/>
                <w:highlight w:val="none"/>
              </w:rPr>
            </w:pPr>
          </w:p>
        </w:tc>
        <w:tc>
          <w:tcPr>
            <w:tcW w:w="993" w:type="dxa"/>
            <w:vAlign w:val="center"/>
          </w:tcPr>
          <w:p>
            <w:pPr>
              <w:pStyle w:val="145"/>
              <w:rPr>
                <w:color w:val="auto"/>
                <w:highlight w:val="none"/>
              </w:rPr>
            </w:pPr>
          </w:p>
        </w:tc>
        <w:tc>
          <w:tcPr>
            <w:tcW w:w="1559" w:type="dxa"/>
            <w:vAlign w:val="center"/>
          </w:tcPr>
          <w:p>
            <w:pPr>
              <w:pStyle w:val="145"/>
              <w:rPr>
                <w:color w:val="auto"/>
                <w:highlight w:val="none"/>
              </w:rPr>
            </w:pPr>
            <w:r>
              <w:rPr>
                <w:rFonts w:hint="eastAsia"/>
                <w:color w:val="auto"/>
                <w:highlight w:val="none"/>
              </w:rPr>
              <w:t>类似项目</w:t>
            </w:r>
            <w:r>
              <w:rPr>
                <w:color w:val="auto"/>
                <w:highlight w:val="none"/>
              </w:rPr>
              <w:t>业绩</w:t>
            </w:r>
          </w:p>
          <w:p>
            <w:pPr>
              <w:pStyle w:val="145"/>
              <w:rPr>
                <w:color w:val="auto"/>
                <w:highlight w:val="none"/>
              </w:rPr>
            </w:pPr>
          </w:p>
        </w:tc>
        <w:tc>
          <w:tcPr>
            <w:tcW w:w="5528" w:type="dxa"/>
            <w:vAlign w:val="center"/>
          </w:tcPr>
          <w:p>
            <w:pPr>
              <w:snapToGrid w:val="0"/>
              <w:spacing w:line="240" w:lineRule="auto"/>
              <w:ind w:firstLine="0" w:firstLineChars="0"/>
              <w:textAlignment w:val="auto"/>
              <w:rPr>
                <w:rFonts w:ascii="宋体" w:hAnsi="宋体"/>
                <w:bCs/>
                <w:color w:val="auto"/>
                <w:kern w:val="2"/>
                <w:sz w:val="21"/>
                <w:szCs w:val="21"/>
                <w:highlight w:val="none"/>
              </w:rPr>
            </w:pPr>
            <w:r>
              <w:rPr>
                <w:rFonts w:hint="eastAsia" w:ascii="宋体" w:hAnsi="宋体"/>
                <w:bCs/>
                <w:color w:val="auto"/>
                <w:kern w:val="2"/>
                <w:sz w:val="21"/>
                <w:szCs w:val="21"/>
                <w:highlight w:val="none"/>
              </w:rPr>
              <w:t>供应商2016年6月6日至今具有的类似</w:t>
            </w:r>
            <w:r>
              <w:rPr>
                <w:rFonts w:ascii="宋体" w:hAnsi="宋体"/>
                <w:bCs/>
                <w:color w:val="auto"/>
                <w:kern w:val="2"/>
                <w:sz w:val="21"/>
                <w:szCs w:val="21"/>
                <w:highlight w:val="none"/>
              </w:rPr>
              <w:t>100</w:t>
            </w:r>
            <w:r>
              <w:rPr>
                <w:rFonts w:hint="eastAsia" w:ascii="宋体" w:hAnsi="宋体"/>
                <w:bCs/>
                <w:color w:val="auto"/>
                <w:kern w:val="2"/>
                <w:sz w:val="21"/>
                <w:szCs w:val="21"/>
                <w:highlight w:val="none"/>
              </w:rPr>
              <w:t>万以上修缮施工业绩</w:t>
            </w:r>
            <w:r>
              <w:rPr>
                <w:rFonts w:ascii="宋体" w:hAnsi="宋体"/>
                <w:bCs/>
                <w:color w:val="auto"/>
                <w:kern w:val="2"/>
                <w:sz w:val="21"/>
                <w:szCs w:val="21"/>
                <w:highlight w:val="none"/>
              </w:rPr>
              <w:t>，</w:t>
            </w:r>
            <w:r>
              <w:rPr>
                <w:rFonts w:hint="eastAsia" w:ascii="宋体" w:hAnsi="宋体"/>
                <w:bCs/>
                <w:color w:val="auto"/>
                <w:kern w:val="2"/>
                <w:sz w:val="21"/>
                <w:szCs w:val="21"/>
                <w:highlight w:val="none"/>
              </w:rPr>
              <w:t>每有一个得</w:t>
            </w:r>
            <w:r>
              <w:rPr>
                <w:rFonts w:ascii="宋体" w:hAnsi="宋体"/>
                <w:bCs/>
                <w:color w:val="auto"/>
                <w:kern w:val="2"/>
                <w:sz w:val="21"/>
                <w:szCs w:val="21"/>
                <w:highlight w:val="none"/>
              </w:rPr>
              <w:t>2</w:t>
            </w:r>
            <w:r>
              <w:rPr>
                <w:rFonts w:hint="eastAsia" w:ascii="宋体" w:hAnsi="宋体"/>
                <w:bCs/>
                <w:color w:val="auto"/>
                <w:kern w:val="2"/>
                <w:sz w:val="21"/>
                <w:szCs w:val="21"/>
                <w:highlight w:val="none"/>
              </w:rPr>
              <w:t>分，最多得</w:t>
            </w:r>
            <w:r>
              <w:rPr>
                <w:rFonts w:ascii="宋体" w:hAnsi="宋体"/>
                <w:bCs/>
                <w:color w:val="auto"/>
                <w:kern w:val="2"/>
                <w:sz w:val="21"/>
                <w:szCs w:val="21"/>
                <w:highlight w:val="none"/>
              </w:rPr>
              <w:t>10</w:t>
            </w:r>
            <w:r>
              <w:rPr>
                <w:rFonts w:hint="eastAsia" w:ascii="宋体" w:hAnsi="宋体"/>
                <w:bCs/>
                <w:color w:val="auto"/>
                <w:kern w:val="2"/>
                <w:sz w:val="21"/>
                <w:szCs w:val="21"/>
                <w:highlight w:val="none"/>
              </w:rPr>
              <w:t>分。</w:t>
            </w:r>
          </w:p>
          <w:p>
            <w:pPr>
              <w:pStyle w:val="145"/>
              <w:rPr>
                <w:bCs/>
                <w:color w:val="auto"/>
                <w:highlight w:val="none"/>
              </w:rPr>
            </w:pPr>
            <w:r>
              <w:rPr>
                <w:rFonts w:hint="eastAsia" w:ascii="Times New Roman" w:hAnsi="Times New Roman"/>
                <w:bCs/>
                <w:color w:val="auto"/>
                <w:kern w:val="0"/>
                <w:sz w:val="24"/>
                <w:szCs w:val="20"/>
                <w:highlight w:val="none"/>
              </w:rPr>
              <w:t>注：供应商须提供提供合同或竣工验收单或中标通知书等复印件作为有效证明文件。未提供有效证明文件或不满足上述要求的业绩不予认可。</w:t>
            </w:r>
          </w:p>
        </w:tc>
        <w:tc>
          <w:tcPr>
            <w:tcW w:w="709" w:type="dxa"/>
            <w:vAlign w:val="center"/>
          </w:tcPr>
          <w:p>
            <w:pPr>
              <w:pStyle w:val="145"/>
              <w:rPr>
                <w:color w:val="auto"/>
                <w:highlight w:val="none"/>
              </w:rPr>
            </w:pPr>
            <w:r>
              <w:rPr>
                <w:rFonts w:hint="eastAsia"/>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675" w:type="dxa"/>
            <w:vMerge w:val="restart"/>
            <w:vAlign w:val="center"/>
          </w:tcPr>
          <w:p>
            <w:pPr>
              <w:pStyle w:val="145"/>
              <w:rPr>
                <w:color w:val="auto"/>
                <w:highlight w:val="none"/>
              </w:rPr>
            </w:pPr>
            <w:r>
              <w:rPr>
                <w:color w:val="auto"/>
                <w:highlight w:val="none"/>
              </w:rPr>
              <w:t>2</w:t>
            </w:r>
          </w:p>
          <w:p>
            <w:pPr>
              <w:pStyle w:val="145"/>
              <w:rPr>
                <w:color w:val="auto"/>
                <w:highlight w:val="none"/>
              </w:rPr>
            </w:pPr>
          </w:p>
          <w:p>
            <w:pPr>
              <w:pStyle w:val="145"/>
              <w:rPr>
                <w:color w:val="auto"/>
                <w:highlight w:val="none"/>
              </w:rPr>
            </w:pPr>
          </w:p>
        </w:tc>
        <w:tc>
          <w:tcPr>
            <w:tcW w:w="993" w:type="dxa"/>
            <w:vMerge w:val="restart"/>
            <w:vAlign w:val="center"/>
          </w:tcPr>
          <w:p>
            <w:pPr>
              <w:pStyle w:val="145"/>
              <w:rPr>
                <w:color w:val="auto"/>
                <w:highlight w:val="none"/>
              </w:rPr>
            </w:pPr>
            <w:r>
              <w:rPr>
                <w:color w:val="auto"/>
                <w:highlight w:val="none"/>
              </w:rPr>
              <w:t>技术</w:t>
            </w:r>
          </w:p>
          <w:p>
            <w:pPr>
              <w:pStyle w:val="145"/>
              <w:rPr>
                <w:color w:val="auto"/>
                <w:highlight w:val="none"/>
              </w:rPr>
            </w:pPr>
            <w:r>
              <w:rPr>
                <w:color w:val="auto"/>
                <w:highlight w:val="none"/>
              </w:rPr>
              <w:t>部分</w:t>
            </w:r>
          </w:p>
          <w:p>
            <w:pPr>
              <w:pStyle w:val="145"/>
              <w:rPr>
                <w:color w:val="auto"/>
                <w:highlight w:val="none"/>
              </w:rPr>
            </w:pPr>
            <w:r>
              <w:rPr>
                <w:color w:val="auto"/>
                <w:highlight w:val="none"/>
              </w:rPr>
              <w:t>（</w:t>
            </w:r>
            <w:r>
              <w:rPr>
                <w:rFonts w:hint="eastAsia"/>
                <w:color w:val="auto"/>
                <w:highlight w:val="none"/>
              </w:rPr>
              <w:t>60</w:t>
            </w:r>
            <w:r>
              <w:rPr>
                <w:color w:val="auto"/>
                <w:highlight w:val="none"/>
              </w:rPr>
              <w:t>分）</w:t>
            </w:r>
          </w:p>
        </w:tc>
        <w:tc>
          <w:tcPr>
            <w:tcW w:w="1559" w:type="dxa"/>
            <w:vAlign w:val="center"/>
          </w:tcPr>
          <w:p>
            <w:pPr>
              <w:pStyle w:val="145"/>
              <w:rPr>
                <w:bCs/>
                <w:color w:val="auto"/>
                <w:highlight w:val="none"/>
              </w:rPr>
            </w:pPr>
            <w:r>
              <w:rPr>
                <w:rFonts w:hint="eastAsia"/>
                <w:bCs/>
                <w:color w:val="auto"/>
                <w:highlight w:val="none"/>
              </w:rPr>
              <w:t>项目技术方案及重点难点分析和紧急情况处理措施</w:t>
            </w:r>
          </w:p>
        </w:tc>
        <w:tc>
          <w:tcPr>
            <w:tcW w:w="5528" w:type="dxa"/>
            <w:vAlign w:val="center"/>
          </w:tcPr>
          <w:p>
            <w:pPr>
              <w:pStyle w:val="145"/>
              <w:rPr>
                <w:bCs/>
                <w:color w:val="auto"/>
                <w:highlight w:val="none"/>
              </w:rPr>
            </w:pPr>
            <w:r>
              <w:rPr>
                <w:rFonts w:hint="eastAsia"/>
                <w:bCs/>
                <w:color w:val="auto"/>
                <w:highlight w:val="none"/>
              </w:rPr>
              <w:t>方案合理，针对性强，对项目重点难点把握准确，紧急情况处理措施合理，得12分；方案可行、针对性一般，重点难点把握一般，紧急情况的处理措施一般得6分；方案欠合理，针对性不足，重点难点把握不足，紧急情况处理措施欠合理得0分。</w:t>
            </w:r>
          </w:p>
        </w:tc>
        <w:tc>
          <w:tcPr>
            <w:tcW w:w="709" w:type="dxa"/>
            <w:vAlign w:val="center"/>
          </w:tcPr>
          <w:p>
            <w:pPr>
              <w:pStyle w:val="145"/>
              <w:rPr>
                <w:bCs/>
                <w:color w:val="auto"/>
                <w:highlight w:val="none"/>
              </w:rPr>
            </w:pPr>
            <w:r>
              <w:rPr>
                <w:rFonts w:hint="eastAsia"/>
                <w:bCs/>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color w:val="auto"/>
                <w:highlight w:val="none"/>
              </w:rPr>
            </w:pPr>
          </w:p>
        </w:tc>
        <w:tc>
          <w:tcPr>
            <w:tcW w:w="1559" w:type="dxa"/>
            <w:vAlign w:val="center"/>
          </w:tcPr>
          <w:p>
            <w:pPr>
              <w:pStyle w:val="145"/>
              <w:rPr>
                <w:bCs/>
                <w:color w:val="auto"/>
                <w:highlight w:val="none"/>
              </w:rPr>
            </w:pPr>
            <w:r>
              <w:rPr>
                <w:rFonts w:hint="eastAsia"/>
                <w:bCs/>
                <w:color w:val="auto"/>
                <w:highlight w:val="none"/>
              </w:rPr>
              <w:t>施工进度计划及施工质量保证措施</w:t>
            </w:r>
          </w:p>
        </w:tc>
        <w:tc>
          <w:tcPr>
            <w:tcW w:w="5528" w:type="dxa"/>
            <w:vAlign w:val="center"/>
          </w:tcPr>
          <w:p>
            <w:pPr>
              <w:pStyle w:val="145"/>
              <w:rPr>
                <w:bCs/>
                <w:color w:val="auto"/>
                <w:highlight w:val="none"/>
              </w:rPr>
            </w:pPr>
            <w:r>
              <w:rPr>
                <w:rFonts w:hint="eastAsia"/>
                <w:bCs/>
                <w:color w:val="auto"/>
                <w:highlight w:val="none"/>
              </w:rPr>
              <w:t>进度计划合理、质量保证措施完善，得12分；进度计划基本可行、质量保证措施一般得6分；欠合理，得0分。</w:t>
            </w:r>
          </w:p>
        </w:tc>
        <w:tc>
          <w:tcPr>
            <w:tcW w:w="709" w:type="dxa"/>
            <w:vAlign w:val="center"/>
          </w:tcPr>
          <w:p>
            <w:pPr>
              <w:pStyle w:val="145"/>
              <w:rPr>
                <w:bCs/>
                <w:color w:val="auto"/>
                <w:highlight w:val="none"/>
              </w:rPr>
            </w:pPr>
            <w:r>
              <w:rPr>
                <w:rFonts w:hint="eastAsia"/>
                <w:bCs/>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color w:val="auto"/>
                <w:highlight w:val="none"/>
              </w:rPr>
            </w:pPr>
          </w:p>
        </w:tc>
        <w:tc>
          <w:tcPr>
            <w:tcW w:w="1559" w:type="dxa"/>
            <w:vAlign w:val="center"/>
          </w:tcPr>
          <w:p>
            <w:pPr>
              <w:pStyle w:val="145"/>
              <w:rPr>
                <w:bCs/>
                <w:color w:val="auto"/>
                <w:highlight w:val="none"/>
              </w:rPr>
            </w:pPr>
            <w:r>
              <w:rPr>
                <w:rFonts w:hint="eastAsia"/>
                <w:bCs/>
                <w:color w:val="auto"/>
                <w:highlight w:val="none"/>
              </w:rPr>
              <w:t>安全防护与文明施工措施</w:t>
            </w:r>
          </w:p>
        </w:tc>
        <w:tc>
          <w:tcPr>
            <w:tcW w:w="5528" w:type="dxa"/>
            <w:vAlign w:val="center"/>
          </w:tcPr>
          <w:p>
            <w:pPr>
              <w:pStyle w:val="145"/>
              <w:rPr>
                <w:bCs/>
                <w:color w:val="auto"/>
                <w:highlight w:val="none"/>
              </w:rPr>
            </w:pPr>
            <w:r>
              <w:rPr>
                <w:rFonts w:hint="eastAsia"/>
                <w:bCs/>
                <w:color w:val="auto"/>
                <w:highlight w:val="none"/>
              </w:rPr>
              <w:t>科学合理、措施有力4分；基本可行、措施一般，得2分；欠合理，得0分。</w:t>
            </w:r>
          </w:p>
        </w:tc>
        <w:tc>
          <w:tcPr>
            <w:tcW w:w="709" w:type="dxa"/>
            <w:vAlign w:val="center"/>
          </w:tcPr>
          <w:p>
            <w:pPr>
              <w:pStyle w:val="145"/>
              <w:rPr>
                <w:bCs/>
                <w:color w:val="auto"/>
                <w:highlight w:val="none"/>
              </w:rPr>
            </w:pPr>
            <w:r>
              <w:rPr>
                <w:rFonts w:hint="eastAsia"/>
                <w:bCs/>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color w:val="auto"/>
                <w:highlight w:val="none"/>
              </w:rPr>
            </w:pPr>
          </w:p>
        </w:tc>
        <w:tc>
          <w:tcPr>
            <w:tcW w:w="1559" w:type="dxa"/>
            <w:vAlign w:val="center"/>
          </w:tcPr>
          <w:p>
            <w:pPr>
              <w:pStyle w:val="145"/>
              <w:rPr>
                <w:color w:val="auto"/>
                <w:highlight w:val="none"/>
              </w:rPr>
            </w:pPr>
            <w:r>
              <w:rPr>
                <w:rFonts w:hint="eastAsia"/>
                <w:color w:val="auto"/>
                <w:highlight w:val="none"/>
              </w:rPr>
              <w:t>项目组织结构、人员配置、及劳动力计划</w:t>
            </w:r>
          </w:p>
        </w:tc>
        <w:tc>
          <w:tcPr>
            <w:tcW w:w="5528" w:type="dxa"/>
            <w:vAlign w:val="center"/>
          </w:tcPr>
          <w:p>
            <w:pPr>
              <w:pStyle w:val="145"/>
              <w:rPr>
                <w:color w:val="auto"/>
                <w:highlight w:val="none"/>
              </w:rPr>
            </w:pPr>
            <w:r>
              <w:rPr>
                <w:rFonts w:hint="eastAsia"/>
                <w:color w:val="auto"/>
                <w:highlight w:val="none"/>
              </w:rPr>
              <w:t>人员配备合理、专业齐全分工明确、项目经理及技术人员资质实力强、类似项目经验丰富，评价好得12分，较好得6分，一般得1分。</w:t>
            </w:r>
          </w:p>
        </w:tc>
        <w:tc>
          <w:tcPr>
            <w:tcW w:w="709" w:type="dxa"/>
            <w:vAlign w:val="center"/>
          </w:tcPr>
          <w:p>
            <w:pPr>
              <w:pStyle w:val="145"/>
              <w:rPr>
                <w:color w:val="auto"/>
                <w:highlight w:val="none"/>
              </w:rPr>
            </w:pPr>
            <w:r>
              <w:rPr>
                <w:rFonts w:hint="eastAsia"/>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b/>
                <w:bCs/>
                <w:color w:val="auto"/>
                <w:highlight w:val="none"/>
              </w:rPr>
            </w:pPr>
          </w:p>
        </w:tc>
        <w:tc>
          <w:tcPr>
            <w:tcW w:w="1559" w:type="dxa"/>
            <w:vAlign w:val="center"/>
          </w:tcPr>
          <w:p>
            <w:pPr>
              <w:pStyle w:val="145"/>
              <w:rPr>
                <w:color w:val="auto"/>
                <w:highlight w:val="none"/>
              </w:rPr>
            </w:pPr>
            <w:r>
              <w:rPr>
                <w:rFonts w:hint="eastAsia"/>
                <w:color w:val="auto"/>
                <w:highlight w:val="none"/>
              </w:rPr>
              <w:t>所报主要材料与设备品质</w:t>
            </w:r>
          </w:p>
        </w:tc>
        <w:tc>
          <w:tcPr>
            <w:tcW w:w="5528" w:type="dxa"/>
            <w:vAlign w:val="center"/>
          </w:tcPr>
          <w:p>
            <w:pPr>
              <w:pStyle w:val="145"/>
              <w:rPr>
                <w:color w:val="auto"/>
                <w:highlight w:val="none"/>
              </w:rPr>
            </w:pPr>
            <w:r>
              <w:rPr>
                <w:rFonts w:hint="eastAsia"/>
                <w:color w:val="auto"/>
                <w:highlight w:val="none"/>
              </w:rPr>
              <w:t>主要材料与设备品质好、节能环保性强得12分，较好得6分；一般得1分；</w:t>
            </w:r>
          </w:p>
        </w:tc>
        <w:tc>
          <w:tcPr>
            <w:tcW w:w="709" w:type="dxa"/>
            <w:vAlign w:val="center"/>
          </w:tcPr>
          <w:p>
            <w:pPr>
              <w:pStyle w:val="145"/>
              <w:rPr>
                <w:color w:val="auto"/>
                <w:highlight w:val="none"/>
              </w:rPr>
            </w:pPr>
            <w:r>
              <w:rPr>
                <w:rFonts w:hint="eastAsia"/>
                <w:color w:val="auto"/>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b/>
                <w:bCs/>
                <w:color w:val="auto"/>
                <w:highlight w:val="none"/>
              </w:rPr>
            </w:pPr>
          </w:p>
        </w:tc>
        <w:tc>
          <w:tcPr>
            <w:tcW w:w="1559" w:type="dxa"/>
            <w:vAlign w:val="center"/>
          </w:tcPr>
          <w:p>
            <w:pPr>
              <w:pStyle w:val="145"/>
              <w:rPr>
                <w:color w:val="auto"/>
                <w:highlight w:val="none"/>
              </w:rPr>
            </w:pPr>
            <w:r>
              <w:rPr>
                <w:rFonts w:hint="eastAsia"/>
                <w:color w:val="auto"/>
                <w:highlight w:val="none"/>
              </w:rPr>
              <w:t>施工部署及现场平面布置</w:t>
            </w:r>
          </w:p>
        </w:tc>
        <w:tc>
          <w:tcPr>
            <w:tcW w:w="5528" w:type="dxa"/>
            <w:vAlign w:val="center"/>
          </w:tcPr>
          <w:p>
            <w:pPr>
              <w:pStyle w:val="145"/>
              <w:rPr>
                <w:color w:val="auto"/>
                <w:highlight w:val="none"/>
              </w:rPr>
            </w:pPr>
            <w:r>
              <w:rPr>
                <w:rFonts w:hint="eastAsia"/>
                <w:color w:val="auto"/>
                <w:highlight w:val="none"/>
              </w:rPr>
              <w:t>合理，得2分；基本合理，得1分，不合理，得0分。</w:t>
            </w:r>
          </w:p>
        </w:tc>
        <w:tc>
          <w:tcPr>
            <w:tcW w:w="709" w:type="dxa"/>
            <w:vAlign w:val="center"/>
          </w:tcPr>
          <w:p>
            <w:pPr>
              <w:pStyle w:val="145"/>
              <w:rPr>
                <w:color w:val="auto"/>
                <w:highlight w:val="none"/>
              </w:rPr>
            </w:pPr>
            <w:r>
              <w:rPr>
                <w:rFonts w:hint="eastAsia"/>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rPr>
        <w:tc>
          <w:tcPr>
            <w:tcW w:w="675" w:type="dxa"/>
            <w:vMerge w:val="continue"/>
            <w:vAlign w:val="center"/>
          </w:tcPr>
          <w:p>
            <w:pPr>
              <w:pStyle w:val="145"/>
              <w:rPr>
                <w:color w:val="auto"/>
                <w:highlight w:val="none"/>
              </w:rPr>
            </w:pPr>
          </w:p>
        </w:tc>
        <w:tc>
          <w:tcPr>
            <w:tcW w:w="993" w:type="dxa"/>
            <w:vMerge w:val="continue"/>
            <w:vAlign w:val="center"/>
          </w:tcPr>
          <w:p>
            <w:pPr>
              <w:pStyle w:val="145"/>
              <w:rPr>
                <w:b/>
                <w:bCs/>
                <w:color w:val="auto"/>
                <w:highlight w:val="none"/>
              </w:rPr>
            </w:pPr>
          </w:p>
        </w:tc>
        <w:tc>
          <w:tcPr>
            <w:tcW w:w="1559" w:type="dxa"/>
            <w:vAlign w:val="center"/>
          </w:tcPr>
          <w:p>
            <w:pPr>
              <w:pStyle w:val="145"/>
              <w:rPr>
                <w:color w:val="auto"/>
                <w:highlight w:val="none"/>
              </w:rPr>
            </w:pPr>
            <w:r>
              <w:rPr>
                <w:rFonts w:hint="eastAsia"/>
                <w:color w:val="auto"/>
                <w:highlight w:val="none"/>
              </w:rPr>
              <w:t>工程、主要材料及设备保修服务</w:t>
            </w:r>
          </w:p>
        </w:tc>
        <w:tc>
          <w:tcPr>
            <w:tcW w:w="5528" w:type="dxa"/>
            <w:vAlign w:val="center"/>
          </w:tcPr>
          <w:p>
            <w:pPr>
              <w:pStyle w:val="145"/>
              <w:rPr>
                <w:color w:val="auto"/>
                <w:highlight w:val="none"/>
              </w:rPr>
            </w:pPr>
            <w:r>
              <w:rPr>
                <w:rFonts w:hint="eastAsia"/>
                <w:color w:val="auto"/>
                <w:highlight w:val="none"/>
              </w:rPr>
              <w:t>工程、主要材料及设备保修服务承诺好，完全满足采购要求，得6分，较好得3分，一般得</w:t>
            </w:r>
            <w:r>
              <w:rPr>
                <w:color w:val="auto"/>
                <w:highlight w:val="none"/>
              </w:rPr>
              <w:t>1</w:t>
            </w:r>
            <w:r>
              <w:rPr>
                <w:rFonts w:hint="eastAsia"/>
                <w:color w:val="auto"/>
                <w:highlight w:val="none"/>
              </w:rPr>
              <w:t>分</w:t>
            </w:r>
          </w:p>
        </w:tc>
        <w:tc>
          <w:tcPr>
            <w:tcW w:w="709" w:type="dxa"/>
            <w:vAlign w:val="center"/>
          </w:tcPr>
          <w:p>
            <w:pPr>
              <w:pStyle w:val="145"/>
              <w:rPr>
                <w:color w:val="auto"/>
                <w:highlight w:val="none"/>
              </w:rPr>
            </w:pPr>
            <w:r>
              <w:rPr>
                <w:rFonts w:hint="eastAsia"/>
                <w:color w:val="auto"/>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pStyle w:val="145"/>
              <w:rPr>
                <w:color w:val="auto"/>
                <w:highlight w:val="none"/>
              </w:rPr>
            </w:pPr>
            <w:r>
              <w:rPr>
                <w:rFonts w:hint="eastAsia"/>
                <w:color w:val="auto"/>
                <w:highlight w:val="none"/>
              </w:rPr>
              <w:t>3</w:t>
            </w:r>
          </w:p>
        </w:tc>
        <w:tc>
          <w:tcPr>
            <w:tcW w:w="993" w:type="dxa"/>
            <w:vAlign w:val="center"/>
          </w:tcPr>
          <w:p>
            <w:pPr>
              <w:pStyle w:val="145"/>
              <w:rPr>
                <w:color w:val="auto"/>
                <w:highlight w:val="none"/>
              </w:rPr>
            </w:pPr>
            <w:r>
              <w:rPr>
                <w:color w:val="auto"/>
                <w:highlight w:val="none"/>
              </w:rPr>
              <w:t>价格</w:t>
            </w:r>
          </w:p>
          <w:p>
            <w:pPr>
              <w:pStyle w:val="145"/>
              <w:rPr>
                <w:color w:val="auto"/>
                <w:highlight w:val="none"/>
              </w:rPr>
            </w:pPr>
            <w:r>
              <w:rPr>
                <w:color w:val="auto"/>
                <w:highlight w:val="none"/>
              </w:rPr>
              <w:t>部分</w:t>
            </w:r>
          </w:p>
          <w:p>
            <w:pPr>
              <w:pStyle w:val="145"/>
              <w:rPr>
                <w:color w:val="auto"/>
                <w:highlight w:val="none"/>
              </w:rPr>
            </w:pPr>
            <w:r>
              <w:rPr>
                <w:color w:val="auto"/>
                <w:highlight w:val="none"/>
              </w:rPr>
              <w:t>（</w:t>
            </w:r>
            <w:r>
              <w:rPr>
                <w:rFonts w:hint="eastAsia"/>
                <w:color w:val="auto"/>
                <w:highlight w:val="none"/>
              </w:rPr>
              <w:t>30</w:t>
            </w:r>
            <w:r>
              <w:rPr>
                <w:color w:val="auto"/>
                <w:highlight w:val="none"/>
              </w:rPr>
              <w:t>分）</w:t>
            </w:r>
          </w:p>
          <w:p>
            <w:pPr>
              <w:pStyle w:val="145"/>
              <w:rPr>
                <w:color w:val="auto"/>
                <w:highlight w:val="none"/>
              </w:rPr>
            </w:pPr>
          </w:p>
          <w:p>
            <w:pPr>
              <w:pStyle w:val="145"/>
              <w:rPr>
                <w:color w:val="auto"/>
                <w:highlight w:val="none"/>
              </w:rPr>
            </w:pPr>
          </w:p>
        </w:tc>
        <w:tc>
          <w:tcPr>
            <w:tcW w:w="7087" w:type="dxa"/>
            <w:gridSpan w:val="2"/>
            <w:vAlign w:val="center"/>
          </w:tcPr>
          <w:p>
            <w:pPr>
              <w:pStyle w:val="145"/>
              <w:rPr>
                <w:color w:val="auto"/>
                <w:highlight w:val="none"/>
              </w:rPr>
            </w:pPr>
            <w:r>
              <w:rPr>
                <w:rFonts w:hint="eastAsia"/>
                <w:color w:val="auto"/>
                <w:highlight w:val="none"/>
              </w:rPr>
              <w:t>一、供应商评审价的确定</w:t>
            </w:r>
          </w:p>
          <w:p>
            <w:pPr>
              <w:pStyle w:val="145"/>
              <w:rPr>
                <w:color w:val="auto"/>
                <w:highlight w:val="none"/>
              </w:rPr>
            </w:pPr>
            <w:r>
              <w:rPr>
                <w:rFonts w:hint="eastAsia"/>
                <w:color w:val="auto"/>
                <w:highlight w:val="none"/>
              </w:rPr>
              <w:t>磋商小组将按照采购文件的规定，对各实质性响应并提交了最后报价的供应商的最后报价在同一基础上进行比较并作相应调整，调整后的价格作为供应商的评审价，根据评审价测算各供应商的报价得分。价格调整原则如下：</w:t>
            </w:r>
          </w:p>
          <w:p>
            <w:pPr>
              <w:pStyle w:val="145"/>
              <w:rPr>
                <w:color w:val="auto"/>
                <w:highlight w:val="none"/>
              </w:rPr>
            </w:pPr>
            <w:r>
              <w:rPr>
                <w:rFonts w:hint="eastAsia"/>
                <w:color w:val="auto"/>
                <w:highlight w:val="none"/>
              </w:rPr>
              <w:t>1、算术错误的修正</w:t>
            </w:r>
          </w:p>
          <w:p>
            <w:pPr>
              <w:pStyle w:val="145"/>
              <w:rPr>
                <w:color w:val="auto"/>
                <w:highlight w:val="none"/>
              </w:rPr>
            </w:pPr>
            <w:r>
              <w:rPr>
                <w:rFonts w:hint="eastAsia"/>
                <w:color w:val="auto"/>
                <w:highlight w:val="none"/>
              </w:rPr>
              <w:t>评审时，磋商小组按如下原则修正供应商的报价：总价金额与按单价汇总金额不一致的，以单价金额计算结果为准修正总价；单价金额小数点有明显错位的，应以总价为准，并修改单价。修正后的报价对供应商具有约束力，一旦成交，即为供应商的成交价。</w:t>
            </w:r>
          </w:p>
          <w:p>
            <w:pPr>
              <w:pStyle w:val="145"/>
              <w:rPr>
                <w:color w:val="auto"/>
                <w:highlight w:val="none"/>
              </w:rPr>
            </w:pPr>
            <w:r>
              <w:rPr>
                <w:rFonts w:hint="eastAsia"/>
                <w:color w:val="auto"/>
                <w:highlight w:val="none"/>
              </w:rPr>
              <w:t>2、小微企业优惠政策调整</w:t>
            </w:r>
          </w:p>
          <w:p>
            <w:pPr>
              <w:pStyle w:val="145"/>
              <w:rPr>
                <w:color w:val="auto"/>
                <w:highlight w:val="none"/>
              </w:rPr>
            </w:pPr>
            <w:r>
              <w:rPr>
                <w:rFonts w:hint="eastAsia"/>
                <w:color w:val="auto"/>
                <w:highlight w:val="none"/>
              </w:rPr>
              <w:t>只有同时满足“①供应商为小型或微型企业；②提供本企业制造的货物、承担的工程或者服务，或者提供其他小型或微型企业制造的货物”两个条件的供应商，方可享受如下小微企业优惠政策。</w:t>
            </w:r>
          </w:p>
          <w:p>
            <w:pPr>
              <w:pStyle w:val="145"/>
              <w:rPr>
                <w:color w:val="auto"/>
                <w:highlight w:val="none"/>
              </w:rPr>
            </w:pPr>
            <w:r>
              <w:rPr>
                <w:rFonts w:hint="eastAsia"/>
                <w:color w:val="auto"/>
                <w:highlight w:val="none"/>
              </w:rPr>
              <w:t>本项目将对小型和微型企业产品的价格给予6%的扣除，用扣除后的价格参与评审打分。若全部或部分所报产品（货物、工程或服务）被认定为小型和微型企业产品，则评审价=供应商报价（指修正后的评审价）中的“小型和微型企业产品”价格×（100%-6%）+供应商报价（指修正后的评审价）中的非“小型和微型企业产品”价格；否则评审价=供应商报价（指修正后的评审价）。</w:t>
            </w:r>
          </w:p>
          <w:p>
            <w:pPr>
              <w:pStyle w:val="145"/>
              <w:rPr>
                <w:color w:val="auto"/>
                <w:highlight w:val="none"/>
              </w:rPr>
            </w:pPr>
            <w:r>
              <w:rPr>
                <w:rFonts w:hint="eastAsia"/>
                <w:color w:val="auto"/>
                <w:highlight w:val="none"/>
              </w:rPr>
              <w:t>二、价格得分的计算：</w:t>
            </w:r>
          </w:p>
          <w:p>
            <w:pPr>
              <w:pStyle w:val="145"/>
              <w:rPr>
                <w:color w:val="auto"/>
                <w:highlight w:val="none"/>
              </w:rPr>
            </w:pPr>
            <w:r>
              <w:rPr>
                <w:rFonts w:hint="eastAsia"/>
                <w:color w:val="auto"/>
                <w:highlight w:val="none"/>
              </w:rPr>
              <w:t>供应商报价得分的计算采用低价优先法，按如下公式进行计算：</w:t>
            </w:r>
          </w:p>
          <w:p>
            <w:pPr>
              <w:pStyle w:val="145"/>
              <w:rPr>
                <w:color w:val="auto"/>
                <w:highlight w:val="none"/>
              </w:rPr>
            </w:pPr>
            <w:r>
              <w:rPr>
                <w:rFonts w:hint="eastAsia"/>
                <w:color w:val="auto"/>
                <w:highlight w:val="none"/>
              </w:rPr>
              <w:t>供应商报价得分=（所有供应商评审价中的最低价/ 供应商评审价）×30</w:t>
            </w:r>
          </w:p>
          <w:p>
            <w:pPr>
              <w:pStyle w:val="145"/>
              <w:rPr>
                <w:color w:val="auto"/>
                <w:highlight w:val="none"/>
              </w:rPr>
            </w:pPr>
          </w:p>
          <w:p>
            <w:pPr>
              <w:pStyle w:val="145"/>
              <w:rPr>
                <w:color w:val="auto"/>
                <w:highlight w:val="none"/>
              </w:rPr>
            </w:pPr>
            <w:r>
              <w:rPr>
                <w:rFonts w:hint="eastAsia"/>
                <w:color w:val="auto"/>
                <w:highlight w:val="none"/>
              </w:rPr>
              <w:t>注1：只有当供应商和产品制造商（仅指全部所报产品中由小型和微型企业生产的产品）均符合小型或微型企业条件，并且均提供了《中小企业声明函》及加盖单位公章的声明函附件（须说明从业人员、营业收入、资产总额等相关情况），该产品方可认定为小型和微型企业产品，评审时享受价格扣减的优惠政策；否则该产品不予认定为小型和微型企业产品，评审时其价格不予扣减。</w:t>
            </w:r>
          </w:p>
          <w:p>
            <w:pPr>
              <w:pStyle w:val="145"/>
              <w:rPr>
                <w:color w:val="auto"/>
                <w:highlight w:val="none"/>
              </w:rPr>
            </w:pPr>
            <w:r>
              <w:rPr>
                <w:rFonts w:hint="eastAsia"/>
                <w:color w:val="auto"/>
                <w:highlight w:val="none"/>
              </w:rPr>
              <w:t>监狱企业提供了由省级以上监狱管理局（北京市含教育矫治局）、戒毒管理局(含新疆生产建设兵团)出具的属于监狱企业的证明文件的，视同小型和微型企业。</w:t>
            </w:r>
          </w:p>
          <w:p>
            <w:pPr>
              <w:pStyle w:val="145"/>
              <w:rPr>
                <w:color w:val="auto"/>
                <w:highlight w:val="none"/>
              </w:rPr>
            </w:pPr>
            <w:r>
              <w:rPr>
                <w:rFonts w:hint="eastAsia"/>
                <w:color w:val="auto"/>
                <w:highlight w:val="none"/>
              </w:rPr>
              <w:t>残疾人福利性单位按采购文件要求提供了《残疾人福利性单位声明函》（见附件）的，视同小型和微型企业。</w:t>
            </w:r>
          </w:p>
          <w:p>
            <w:pPr>
              <w:pStyle w:val="145"/>
              <w:rPr>
                <w:color w:val="auto"/>
                <w:highlight w:val="none"/>
              </w:rPr>
            </w:pPr>
            <w:r>
              <w:rPr>
                <w:rFonts w:hint="eastAsia"/>
                <w:color w:val="auto"/>
                <w:highlight w:val="none"/>
              </w:rPr>
              <w:t>注2：本项目价格部分的评审将以供应商所报最后报价进行评审。</w:t>
            </w:r>
          </w:p>
        </w:tc>
        <w:tc>
          <w:tcPr>
            <w:tcW w:w="709" w:type="dxa"/>
            <w:vAlign w:val="center"/>
          </w:tcPr>
          <w:p>
            <w:pPr>
              <w:pStyle w:val="145"/>
              <w:rPr>
                <w:color w:val="auto"/>
                <w:highlight w:val="none"/>
              </w:rPr>
            </w:pPr>
            <w:r>
              <w:rPr>
                <w:rFonts w:hint="eastAsia"/>
                <w:color w:val="auto"/>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75" w:type="dxa"/>
            <w:vAlign w:val="center"/>
          </w:tcPr>
          <w:p>
            <w:pPr>
              <w:pStyle w:val="145"/>
              <w:rPr>
                <w:color w:val="auto"/>
                <w:highlight w:val="none"/>
              </w:rPr>
            </w:pPr>
            <w:r>
              <w:rPr>
                <w:rFonts w:hint="eastAsia"/>
                <w:color w:val="auto"/>
                <w:highlight w:val="none"/>
              </w:rPr>
              <w:t>4</w:t>
            </w:r>
          </w:p>
        </w:tc>
        <w:tc>
          <w:tcPr>
            <w:tcW w:w="993" w:type="dxa"/>
            <w:vAlign w:val="center"/>
          </w:tcPr>
          <w:p>
            <w:pPr>
              <w:pStyle w:val="145"/>
              <w:rPr>
                <w:color w:val="auto"/>
                <w:highlight w:val="none"/>
              </w:rPr>
            </w:pPr>
            <w:r>
              <w:rPr>
                <w:rFonts w:hint="eastAsia"/>
                <w:b/>
                <w:color w:val="auto"/>
                <w:highlight w:val="none"/>
              </w:rPr>
              <w:t>总分</w:t>
            </w:r>
          </w:p>
        </w:tc>
        <w:tc>
          <w:tcPr>
            <w:tcW w:w="7087" w:type="dxa"/>
            <w:gridSpan w:val="2"/>
            <w:vAlign w:val="center"/>
          </w:tcPr>
          <w:p>
            <w:pPr>
              <w:pStyle w:val="145"/>
              <w:rPr>
                <w:bCs/>
                <w:color w:val="auto"/>
                <w:highlight w:val="none"/>
              </w:rPr>
            </w:pPr>
            <w:r>
              <w:rPr>
                <w:rFonts w:hint="eastAsia"/>
                <w:b/>
                <w:color w:val="auto"/>
                <w:highlight w:val="none"/>
              </w:rPr>
              <w:t>1</w:t>
            </w:r>
            <w:r>
              <w:rPr>
                <w:b/>
                <w:color w:val="auto"/>
                <w:highlight w:val="none"/>
              </w:rPr>
              <w:t>~</w:t>
            </w:r>
            <w:r>
              <w:rPr>
                <w:rFonts w:hint="eastAsia"/>
                <w:b/>
                <w:color w:val="auto"/>
                <w:highlight w:val="none"/>
              </w:rPr>
              <w:t>3项得分之和，即为供应商的综合评审得分</w:t>
            </w:r>
          </w:p>
        </w:tc>
        <w:tc>
          <w:tcPr>
            <w:tcW w:w="709" w:type="dxa"/>
            <w:vAlign w:val="center"/>
          </w:tcPr>
          <w:p>
            <w:pPr>
              <w:pStyle w:val="145"/>
              <w:rPr>
                <w:b/>
                <w:color w:val="auto"/>
                <w:highlight w:val="none"/>
              </w:rPr>
            </w:pPr>
            <w:r>
              <w:rPr>
                <w:rFonts w:hint="eastAsia"/>
                <w:b/>
                <w:color w:val="auto"/>
                <w:highlight w:val="none"/>
              </w:rPr>
              <w:t>100</w:t>
            </w:r>
          </w:p>
        </w:tc>
      </w:tr>
    </w:tbl>
    <w:p>
      <w:pPr>
        <w:pStyle w:val="145"/>
        <w:rPr>
          <w:rFonts w:ascii="Times New Roman" w:hAnsi="Times New Roman"/>
          <w:color w:val="auto"/>
          <w:highlight w:val="none"/>
        </w:rPr>
      </w:pPr>
      <w:r>
        <w:rPr>
          <w:rFonts w:ascii="Times New Roman" w:hAnsi="Times New Roman"/>
          <w:color w:val="auto"/>
          <w:highlight w:val="none"/>
        </w:rPr>
        <w:t>1、评分分值及计算结果精确到小数点后二位，第三位四舍五入。</w:t>
      </w:r>
    </w:p>
    <w:p>
      <w:pPr>
        <w:pStyle w:val="145"/>
        <w:ind w:firstLine="420" w:firstLineChars="200"/>
        <w:rPr>
          <w:rFonts w:ascii="Times New Roman" w:hAnsi="Times New Roman"/>
          <w:color w:val="auto"/>
          <w:highlight w:val="none"/>
        </w:rPr>
      </w:pPr>
      <w:r>
        <w:rPr>
          <w:rFonts w:ascii="Times New Roman" w:hAnsi="Times New Roman"/>
          <w:color w:val="auto"/>
          <w:highlight w:val="none"/>
        </w:rPr>
        <w:t>2、评审时，磋商小组各成员应当独立对每个有效供应商进行评价、打分，然后汇总每个供应商每项评分因素的得分，取各磋商小组成员评分的算术平均值作为供应商的综合评审得分，并以此作为排序、推荐的基础。</w:t>
      </w:r>
    </w:p>
    <w:p>
      <w:pPr>
        <w:pStyle w:val="145"/>
        <w:ind w:firstLine="420" w:firstLineChars="200"/>
        <w:rPr>
          <w:rFonts w:ascii="Times New Roman" w:hAnsi="Times New Roman"/>
          <w:color w:val="auto"/>
          <w:highlight w:val="none"/>
        </w:rPr>
      </w:pPr>
      <w:r>
        <w:rPr>
          <w:rFonts w:ascii="Times New Roman" w:hAnsi="Times New Roman"/>
          <w:color w:val="auto"/>
          <w:highlight w:val="none"/>
        </w:rPr>
        <w:t>3、磋商小组将根据评审结果，对实质上响应磋商采购文件、且进行最后报价的供应商按综合评审得分由高到低的顺序进行排序。综合评审得分相同的，按最后报价由低到高顺序进行排序，综合评审得分与最后报价均相同的，按技术指标优劣（技术部分评审得分由高到低）顺序进行排序。</w:t>
      </w:r>
    </w:p>
    <w:bookmarkEnd w:id="928"/>
    <w:bookmarkEnd w:id="929"/>
    <w:bookmarkEnd w:id="930"/>
    <w:p>
      <w:pPr>
        <w:widowControl/>
        <w:adjustRightInd/>
        <w:spacing w:line="240" w:lineRule="auto"/>
        <w:ind w:firstLine="0" w:firstLineChars="0"/>
        <w:textAlignment w:val="auto"/>
        <w:rPr>
          <w:color w:val="auto"/>
          <w:sz w:val="21"/>
          <w:szCs w:val="21"/>
          <w:highlight w:val="none"/>
        </w:rPr>
      </w:pPr>
      <w:r>
        <w:rPr>
          <w:color w:val="auto"/>
          <w:sz w:val="21"/>
          <w:szCs w:val="21"/>
          <w:highlight w:val="none"/>
        </w:rPr>
        <w:br w:type="page"/>
      </w:r>
    </w:p>
    <w:p>
      <w:pPr>
        <w:widowControl/>
        <w:adjustRightInd/>
        <w:spacing w:line="240" w:lineRule="auto"/>
        <w:ind w:firstLine="0" w:firstLineChars="0"/>
        <w:textAlignment w:val="auto"/>
        <w:rPr>
          <w:color w:val="auto"/>
          <w:sz w:val="21"/>
          <w:szCs w:val="21"/>
          <w:highlight w:val="none"/>
        </w:rPr>
      </w:pPr>
    </w:p>
    <w:p>
      <w:pPr>
        <w:pStyle w:val="60"/>
        <w:ind w:firstLine="640"/>
        <w:rPr>
          <w:rFonts w:ascii="Times New Roman" w:hAnsi="Times New Roman"/>
          <w:color w:val="auto"/>
          <w:sz w:val="32"/>
          <w:szCs w:val="32"/>
          <w:highlight w:val="none"/>
        </w:rPr>
      </w:pPr>
    </w:p>
    <w:bookmarkEnd w:id="916"/>
    <w:p>
      <w:pPr>
        <w:rPr>
          <w:color w:val="auto"/>
          <w:highlight w:val="none"/>
        </w:rPr>
      </w:pPr>
      <w:bookmarkStart w:id="932" w:name="_Toc241827252"/>
      <w:bookmarkStart w:id="933" w:name="_Toc432430516"/>
      <w:bookmarkStart w:id="934" w:name="_Toc241827256"/>
      <w:bookmarkStart w:id="935" w:name="_Toc86202637"/>
    </w:p>
    <w:p>
      <w:pPr>
        <w:rPr>
          <w:color w:val="auto"/>
          <w:highlight w:val="none"/>
        </w:rPr>
      </w:pPr>
    </w:p>
    <w:p>
      <w:pPr>
        <w:rPr>
          <w:color w:val="auto"/>
          <w:highlight w:val="none"/>
        </w:rPr>
      </w:pPr>
    </w:p>
    <w:p>
      <w:pPr>
        <w:rPr>
          <w:color w:val="auto"/>
          <w:highlight w:val="none"/>
        </w:rPr>
      </w:pPr>
    </w:p>
    <w:p>
      <w:pPr>
        <w:rPr>
          <w:color w:val="auto"/>
          <w:highlight w:val="none"/>
        </w:rPr>
      </w:pPr>
    </w:p>
    <w:p>
      <w:pPr>
        <w:pStyle w:val="2"/>
        <w:rPr>
          <w:color w:val="auto"/>
          <w:highlight w:val="none"/>
        </w:rPr>
      </w:pPr>
      <w:bookmarkStart w:id="936" w:name="_Toc453622072"/>
      <w:bookmarkStart w:id="937" w:name="_Toc453520630"/>
      <w:bookmarkStart w:id="938" w:name="_Toc462069437"/>
      <w:bookmarkStart w:id="939" w:name="_Toc518557368"/>
      <w:bookmarkStart w:id="940" w:name="_Toc462066503"/>
      <w:r>
        <w:rPr>
          <w:color w:val="auto"/>
          <w:highlight w:val="none"/>
        </w:rPr>
        <w:t>第六部分</w:t>
      </w:r>
      <w:bookmarkStart w:id="941" w:name="_Toc86202632"/>
      <w:r>
        <w:rPr>
          <w:color w:val="auto"/>
          <w:highlight w:val="none"/>
        </w:rPr>
        <w:t>响应文件格式</w:t>
      </w:r>
      <w:bookmarkEnd w:id="932"/>
      <w:bookmarkEnd w:id="933"/>
      <w:bookmarkEnd w:id="936"/>
      <w:bookmarkEnd w:id="937"/>
      <w:bookmarkEnd w:id="938"/>
      <w:bookmarkEnd w:id="939"/>
      <w:bookmarkEnd w:id="940"/>
      <w:bookmarkEnd w:id="941"/>
      <w:bookmarkStart w:id="942" w:name="_Toc86202633"/>
    </w:p>
    <w:p>
      <w:pPr>
        <w:rPr>
          <w:color w:val="auto"/>
          <w:highlight w:val="none"/>
        </w:rPr>
      </w:pPr>
    </w:p>
    <w:bookmarkEnd w:id="942"/>
    <w:p>
      <w:pPr>
        <w:pStyle w:val="4"/>
        <w:rPr>
          <w:rFonts w:ascii="Times New Roman" w:hAnsi="Times New Roman"/>
          <w:color w:val="auto"/>
          <w:highlight w:val="none"/>
        </w:rPr>
      </w:pPr>
      <w:r>
        <w:rPr>
          <w:rFonts w:ascii="Times New Roman" w:hAnsi="Times New Roman"/>
          <w:color w:val="auto"/>
          <w:highlight w:val="none"/>
        </w:rPr>
        <w:br w:type="page"/>
      </w:r>
      <w:bookmarkStart w:id="943" w:name="_Toc443397267"/>
      <w:bookmarkStart w:id="944" w:name="_Toc518557369"/>
      <w:bookmarkStart w:id="945" w:name="_Toc417204743"/>
      <w:bookmarkStart w:id="946" w:name="_Toc462066504"/>
      <w:bookmarkStart w:id="947" w:name="_Toc462069438"/>
      <w:bookmarkStart w:id="948" w:name="_Toc326167549"/>
      <w:bookmarkStart w:id="949" w:name="_Toc241827254"/>
      <w:bookmarkStart w:id="950" w:name="_Toc416417637"/>
      <w:bookmarkStart w:id="951" w:name="_Toc86202634"/>
      <w:bookmarkStart w:id="952" w:name="_Toc432430517"/>
      <w:bookmarkStart w:id="953" w:name="_Toc453622073"/>
      <w:r>
        <w:rPr>
          <w:rFonts w:ascii="Times New Roman" w:hAnsi="Times New Roman"/>
          <w:color w:val="auto"/>
          <w:highlight w:val="none"/>
        </w:rPr>
        <w:t>附件1 响应函</w:t>
      </w:r>
      <w:bookmarkEnd w:id="943"/>
      <w:bookmarkEnd w:id="944"/>
      <w:bookmarkEnd w:id="945"/>
      <w:bookmarkEnd w:id="946"/>
      <w:bookmarkEnd w:id="947"/>
      <w:bookmarkEnd w:id="948"/>
      <w:bookmarkEnd w:id="949"/>
      <w:bookmarkEnd w:id="950"/>
      <w:bookmarkEnd w:id="951"/>
      <w:bookmarkEnd w:id="952"/>
      <w:bookmarkEnd w:id="953"/>
    </w:p>
    <w:p>
      <w:pPr>
        <w:pStyle w:val="155"/>
        <w:rPr>
          <w:rFonts w:ascii="Times New Roman" w:hAnsi="Times New Roman"/>
          <w:color w:val="auto"/>
          <w:highlight w:val="none"/>
        </w:rPr>
      </w:pPr>
      <w:r>
        <w:rPr>
          <w:rFonts w:ascii="Times New Roman" w:hAnsi="Times New Roman"/>
          <w:color w:val="auto"/>
          <w:highlight w:val="none"/>
        </w:rPr>
        <w:t>响应函</w:t>
      </w:r>
    </w:p>
    <w:p>
      <w:pPr>
        <w:rPr>
          <w:color w:val="auto"/>
          <w:highlight w:val="none"/>
        </w:rPr>
      </w:pPr>
      <w:bookmarkStart w:id="954" w:name="_Toc241827255"/>
      <w:r>
        <w:rPr>
          <w:color w:val="auto"/>
          <w:highlight w:val="none"/>
        </w:rPr>
        <w:t>致：</w:t>
      </w:r>
      <w:r>
        <w:rPr>
          <w:color w:val="auto"/>
          <w:highlight w:val="none"/>
          <w:u w:val="single"/>
        </w:rPr>
        <w:t>（采购</w:t>
      </w:r>
      <w:r>
        <w:rPr>
          <w:rFonts w:hint="eastAsia"/>
          <w:color w:val="auto"/>
          <w:highlight w:val="none"/>
          <w:u w:val="single"/>
        </w:rPr>
        <w:t>人</w:t>
      </w:r>
      <w:r>
        <w:rPr>
          <w:color w:val="auto"/>
          <w:highlight w:val="none"/>
          <w:u w:val="single"/>
        </w:rPr>
        <w:t>）</w:t>
      </w:r>
    </w:p>
    <w:p>
      <w:pPr>
        <w:rPr>
          <w:color w:val="auto"/>
          <w:highlight w:val="none"/>
        </w:rPr>
      </w:pPr>
      <w:r>
        <w:rPr>
          <w:color w:val="auto"/>
          <w:highlight w:val="none"/>
        </w:rPr>
        <w:t>供应商</w:t>
      </w:r>
      <w:r>
        <w:rPr>
          <w:color w:val="auto"/>
          <w:highlight w:val="none"/>
          <w:u w:val="single"/>
        </w:rPr>
        <w:t>（名称）</w:t>
      </w:r>
      <w:r>
        <w:rPr>
          <w:color w:val="auto"/>
          <w:highlight w:val="none"/>
        </w:rPr>
        <w:t>授权</w:t>
      </w:r>
      <w:r>
        <w:rPr>
          <w:color w:val="auto"/>
          <w:highlight w:val="none"/>
          <w:u w:val="single"/>
        </w:rPr>
        <w:t>（全权代表姓名、职务、职称）</w:t>
      </w:r>
      <w:r>
        <w:rPr>
          <w:color w:val="auto"/>
          <w:highlight w:val="none"/>
        </w:rPr>
        <w:t>为全权代表，参加贵方组织的</w:t>
      </w:r>
      <w:r>
        <w:rPr>
          <w:color w:val="auto"/>
          <w:highlight w:val="none"/>
          <w:u w:val="single"/>
        </w:rPr>
        <w:t>（项目名称）</w:t>
      </w:r>
      <w:r>
        <w:rPr>
          <w:color w:val="auto"/>
          <w:highlight w:val="none"/>
        </w:rPr>
        <w:t>项目的采购活动，为此：</w:t>
      </w:r>
    </w:p>
    <w:p>
      <w:pPr>
        <w:rPr>
          <w:color w:val="auto"/>
          <w:highlight w:val="none"/>
        </w:rPr>
      </w:pPr>
      <w:r>
        <w:rPr>
          <w:color w:val="auto"/>
          <w:highlight w:val="none"/>
        </w:rPr>
        <w:t>1、提供供应商须知规定的全部响应文件（正本[  ]份，副本[  ]份、电子版[  ]份）。</w:t>
      </w:r>
    </w:p>
    <w:p>
      <w:pPr>
        <w:rPr>
          <w:color w:val="auto"/>
          <w:highlight w:val="none"/>
        </w:rPr>
      </w:pPr>
      <w:r>
        <w:rPr>
          <w:color w:val="auto"/>
          <w:highlight w:val="none"/>
        </w:rPr>
        <w:t>2、提供按磋商采购文件要求的服务报价。（</w:t>
      </w:r>
      <w:r>
        <w:rPr>
          <w:color w:val="auto"/>
          <w:highlight w:val="none"/>
          <w:u w:val="single"/>
        </w:rPr>
        <w:t>详见附件2 响应报价一览表</w:t>
      </w:r>
      <w:r>
        <w:rPr>
          <w:color w:val="auto"/>
          <w:highlight w:val="none"/>
        </w:rPr>
        <w:t>）。</w:t>
      </w:r>
    </w:p>
    <w:p>
      <w:pPr>
        <w:rPr>
          <w:color w:val="auto"/>
          <w:highlight w:val="none"/>
        </w:rPr>
      </w:pPr>
      <w:r>
        <w:rPr>
          <w:color w:val="auto"/>
          <w:highlight w:val="none"/>
        </w:rPr>
        <w:t>3、一旦成交，我方将按磋商采购文件的规定履行全部责任和义务。</w:t>
      </w:r>
    </w:p>
    <w:p>
      <w:pPr>
        <w:rPr>
          <w:color w:val="auto"/>
          <w:highlight w:val="none"/>
        </w:rPr>
      </w:pPr>
      <w:r>
        <w:rPr>
          <w:color w:val="auto"/>
          <w:highlight w:val="none"/>
        </w:rPr>
        <w:t>4、我方承诺已经具备《中华人民共和国政府采购法》中规定的参加政府采购活动的供应商应当具备的条件：</w:t>
      </w:r>
    </w:p>
    <w:p>
      <w:pPr>
        <w:numPr>
          <w:ilvl w:val="0"/>
          <w:numId w:val="15"/>
        </w:numPr>
        <w:ind w:firstLineChars="0"/>
        <w:rPr>
          <w:color w:val="auto"/>
          <w:highlight w:val="none"/>
        </w:rPr>
      </w:pPr>
      <w:r>
        <w:rPr>
          <w:color w:val="auto"/>
          <w:highlight w:val="none"/>
        </w:rPr>
        <w:t>具有独立承担民事责任的能力；</w:t>
      </w:r>
    </w:p>
    <w:p>
      <w:pPr>
        <w:numPr>
          <w:ilvl w:val="0"/>
          <w:numId w:val="15"/>
        </w:numPr>
        <w:ind w:firstLineChars="0"/>
        <w:rPr>
          <w:color w:val="auto"/>
          <w:highlight w:val="none"/>
        </w:rPr>
      </w:pPr>
      <w:r>
        <w:rPr>
          <w:color w:val="auto"/>
          <w:highlight w:val="none"/>
        </w:rPr>
        <w:t>具有良好的商业信誉和健全的财务会计制度；</w:t>
      </w:r>
    </w:p>
    <w:p>
      <w:pPr>
        <w:numPr>
          <w:ilvl w:val="0"/>
          <w:numId w:val="15"/>
        </w:numPr>
        <w:ind w:firstLineChars="0"/>
        <w:rPr>
          <w:color w:val="auto"/>
          <w:highlight w:val="none"/>
        </w:rPr>
      </w:pPr>
      <w:r>
        <w:rPr>
          <w:color w:val="auto"/>
          <w:highlight w:val="none"/>
        </w:rPr>
        <w:t>具有履行合同所必需的设备和专业技术能力；</w:t>
      </w:r>
    </w:p>
    <w:p>
      <w:pPr>
        <w:numPr>
          <w:ilvl w:val="0"/>
          <w:numId w:val="15"/>
        </w:numPr>
        <w:ind w:firstLineChars="0"/>
        <w:rPr>
          <w:color w:val="auto"/>
          <w:highlight w:val="none"/>
        </w:rPr>
      </w:pPr>
      <w:r>
        <w:rPr>
          <w:color w:val="auto"/>
          <w:highlight w:val="none"/>
        </w:rPr>
        <w:t>有依法缴纳税收和社会保障资金的良好记录；</w:t>
      </w:r>
    </w:p>
    <w:p>
      <w:pPr>
        <w:numPr>
          <w:ilvl w:val="0"/>
          <w:numId w:val="15"/>
        </w:numPr>
        <w:ind w:firstLineChars="0"/>
        <w:rPr>
          <w:color w:val="auto"/>
          <w:highlight w:val="none"/>
        </w:rPr>
      </w:pPr>
      <w:r>
        <w:rPr>
          <w:color w:val="auto"/>
          <w:highlight w:val="none"/>
        </w:rPr>
        <w:t>参加此项采购活动近三年内，在经营活动中没有重大违法记录。</w:t>
      </w:r>
    </w:p>
    <w:p>
      <w:pPr>
        <w:rPr>
          <w:color w:val="auto"/>
          <w:highlight w:val="none"/>
        </w:rPr>
      </w:pPr>
      <w:r>
        <w:rPr>
          <w:color w:val="auto"/>
          <w:highlight w:val="none"/>
        </w:rPr>
        <w:t>5、我方已详细审查全部磋商采购文件，我们完全理解并同意放弃对磋商采购文件提出质疑及/或争议的权利。</w:t>
      </w:r>
    </w:p>
    <w:p>
      <w:pPr>
        <w:rPr>
          <w:color w:val="auto"/>
          <w:highlight w:val="none"/>
        </w:rPr>
      </w:pPr>
      <w:r>
        <w:rPr>
          <w:color w:val="auto"/>
          <w:highlight w:val="none"/>
        </w:rPr>
        <w:t>6、本项目响应有效期为自首次响应文件截止日起</w:t>
      </w:r>
      <w:r>
        <w:rPr>
          <w:rFonts w:hint="eastAsia"/>
          <w:color w:val="auto"/>
          <w:highlight w:val="none"/>
          <w:u w:val="single"/>
        </w:rPr>
        <w:t>90</w:t>
      </w:r>
      <w:r>
        <w:rPr>
          <w:color w:val="auto"/>
          <w:highlight w:val="none"/>
        </w:rPr>
        <w:t>个日历天。</w:t>
      </w:r>
    </w:p>
    <w:p>
      <w:pPr>
        <w:rPr>
          <w:color w:val="auto"/>
          <w:highlight w:val="none"/>
        </w:rPr>
      </w:pPr>
      <w:r>
        <w:rPr>
          <w:color w:val="auto"/>
          <w:highlight w:val="none"/>
        </w:rPr>
        <w:t>7、如果在规定的递交首次响应文件提交截止时间后，我方在响应有效期内撤回响应文件，我方同意磋商保证金将被贵方没收。</w:t>
      </w:r>
    </w:p>
    <w:p>
      <w:pPr>
        <w:rPr>
          <w:color w:val="auto"/>
          <w:highlight w:val="none"/>
        </w:rPr>
      </w:pPr>
      <w:r>
        <w:rPr>
          <w:color w:val="auto"/>
          <w:highlight w:val="none"/>
        </w:rPr>
        <w:t>8、我方愿意向贵方提供任何与该项磋商有关的数据、情况和技术资料，完全理解贵方不一定接受最低价的响应文件或收到的任何响应文件。</w:t>
      </w:r>
    </w:p>
    <w:p>
      <w:pPr>
        <w:rPr>
          <w:color w:val="auto"/>
          <w:highlight w:val="none"/>
        </w:rPr>
      </w:pPr>
      <w:r>
        <w:rPr>
          <w:color w:val="auto"/>
          <w:highlight w:val="none"/>
        </w:rPr>
        <w:t>9、我公司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pPr>
        <w:rPr>
          <w:color w:val="auto"/>
          <w:highlight w:val="none"/>
        </w:rPr>
      </w:pPr>
      <w:r>
        <w:rPr>
          <w:color w:val="auto"/>
          <w:highlight w:val="none"/>
        </w:rPr>
        <w:t>1</w:t>
      </w:r>
      <w:r>
        <w:rPr>
          <w:rFonts w:hint="eastAsia"/>
          <w:color w:val="auto"/>
          <w:highlight w:val="none"/>
        </w:rPr>
        <w:t>0</w:t>
      </w:r>
      <w:r>
        <w:rPr>
          <w:color w:val="auto"/>
          <w:highlight w:val="none"/>
        </w:rPr>
        <w:t>、与本次磋商有关的一切往来通讯请寄：</w:t>
      </w:r>
    </w:p>
    <w:p>
      <w:pPr>
        <w:rPr>
          <w:color w:val="auto"/>
          <w:highlight w:val="none"/>
        </w:rPr>
      </w:pPr>
      <w:r>
        <w:rPr>
          <w:color w:val="auto"/>
          <w:highlight w:val="none"/>
        </w:rPr>
        <w:t>地址_________________________     传真___________________________</w:t>
      </w:r>
    </w:p>
    <w:p>
      <w:pPr>
        <w:rPr>
          <w:color w:val="auto"/>
          <w:highlight w:val="none"/>
        </w:rPr>
      </w:pPr>
      <w:r>
        <w:rPr>
          <w:color w:val="auto"/>
          <w:highlight w:val="none"/>
        </w:rPr>
        <w:t>电话_________________________     电子函件_______________________</w:t>
      </w:r>
    </w:p>
    <w:p>
      <w:pPr>
        <w:rPr>
          <w:color w:val="auto"/>
          <w:highlight w:val="none"/>
        </w:rPr>
      </w:pPr>
    </w:p>
    <w:p>
      <w:pPr>
        <w:rPr>
          <w:color w:val="auto"/>
          <w:highlight w:val="none"/>
        </w:rPr>
      </w:pPr>
      <w:r>
        <w:rPr>
          <w:color w:val="auto"/>
          <w:highlight w:val="none"/>
        </w:rPr>
        <w:t xml:space="preserve">供应商名称（公章）：_________________  </w:t>
      </w:r>
    </w:p>
    <w:p>
      <w:pPr>
        <w:rPr>
          <w:color w:val="auto"/>
          <w:highlight w:val="none"/>
        </w:rPr>
      </w:pPr>
      <w:r>
        <w:rPr>
          <w:color w:val="auto"/>
          <w:highlight w:val="none"/>
        </w:rPr>
        <w:t xml:space="preserve">法定代表人或其授权代表（签字）：_________________ </w:t>
      </w:r>
    </w:p>
    <w:p>
      <w:pPr>
        <w:rPr>
          <w:color w:val="auto"/>
          <w:highlight w:val="none"/>
        </w:rPr>
      </w:pPr>
      <w:r>
        <w:rPr>
          <w:color w:val="auto"/>
          <w:highlight w:val="none"/>
        </w:rPr>
        <w:t xml:space="preserve">供应商开户银行（全称）：_________________ </w:t>
      </w:r>
    </w:p>
    <w:p>
      <w:pPr>
        <w:rPr>
          <w:color w:val="auto"/>
          <w:highlight w:val="none"/>
        </w:rPr>
      </w:pPr>
      <w:r>
        <w:rPr>
          <w:color w:val="auto"/>
          <w:highlight w:val="none"/>
        </w:rPr>
        <w:t xml:space="preserve">供应商银行账号：_________________ </w:t>
      </w:r>
    </w:p>
    <w:p>
      <w:pPr>
        <w:rPr>
          <w:color w:val="auto"/>
          <w:highlight w:val="none"/>
        </w:rPr>
      </w:pPr>
      <w:r>
        <w:rPr>
          <w:color w:val="auto"/>
          <w:highlight w:val="none"/>
        </w:rPr>
        <w:t xml:space="preserve">日期：_________________ </w:t>
      </w:r>
    </w:p>
    <w:p>
      <w:pPr>
        <w:widowControl/>
        <w:adjustRightInd/>
        <w:spacing w:line="240" w:lineRule="auto"/>
        <w:ind w:firstLine="0" w:firstLineChars="0"/>
        <w:textAlignment w:val="auto"/>
        <w:rPr>
          <w:color w:val="auto"/>
          <w:highlight w:val="none"/>
        </w:rPr>
      </w:pPr>
    </w:p>
    <w:p>
      <w:pPr>
        <w:widowControl/>
        <w:adjustRightInd/>
        <w:spacing w:line="240" w:lineRule="auto"/>
        <w:ind w:firstLine="0" w:firstLineChars="0"/>
        <w:textAlignment w:val="auto"/>
        <w:rPr>
          <w:color w:val="auto"/>
          <w:highlight w:val="none"/>
        </w:rPr>
      </w:pPr>
    </w:p>
    <w:p>
      <w:pPr>
        <w:widowControl/>
        <w:adjustRightInd/>
        <w:spacing w:line="240" w:lineRule="auto"/>
        <w:ind w:firstLine="0" w:firstLineChars="0"/>
        <w:textAlignment w:val="auto"/>
        <w:rPr>
          <w:color w:val="auto"/>
          <w:highlight w:val="none"/>
        </w:rPr>
      </w:pPr>
    </w:p>
    <w:p>
      <w:pPr>
        <w:widowControl/>
        <w:adjustRightInd/>
        <w:spacing w:line="240" w:lineRule="auto"/>
        <w:ind w:firstLine="0" w:firstLineChars="0"/>
        <w:textAlignment w:val="auto"/>
        <w:rPr>
          <w:color w:val="auto"/>
          <w:highlight w:val="none"/>
        </w:rPr>
      </w:pPr>
    </w:p>
    <w:bookmarkEnd w:id="954"/>
    <w:p>
      <w:pPr>
        <w:pStyle w:val="4"/>
        <w:rPr>
          <w:rFonts w:ascii="Times New Roman" w:hAnsi="Times New Roman"/>
          <w:color w:val="auto"/>
          <w:highlight w:val="none"/>
        </w:rPr>
      </w:pPr>
      <w:bookmarkStart w:id="955" w:name="_Toc202069413"/>
      <w:bookmarkStart w:id="956" w:name="_Toc201995935"/>
      <w:bookmarkStart w:id="957" w:name="_Toc194888447"/>
      <w:bookmarkStart w:id="958" w:name="_Toc182802948"/>
      <w:bookmarkStart w:id="959" w:name="_Toc150774762"/>
      <w:bookmarkStart w:id="960" w:name="_Toc150480795"/>
      <w:bookmarkStart w:id="961" w:name="_Toc142311059"/>
      <w:bookmarkStart w:id="962" w:name="_Toc127151557"/>
      <w:bookmarkStart w:id="963" w:name="_Toc480942350"/>
      <w:bookmarkStart w:id="964" w:name="_Toc520356218"/>
      <w:bookmarkStart w:id="965" w:name="_Toc287280566"/>
      <w:bookmarkStart w:id="966" w:name="_Ref467988705"/>
      <w:bookmarkStart w:id="967" w:name="_Toc287280315"/>
      <w:bookmarkStart w:id="968" w:name="_Toc373513381"/>
      <w:bookmarkStart w:id="969" w:name="_Toc205612696"/>
      <w:bookmarkStart w:id="970" w:name="_Toc205612625"/>
      <w:bookmarkStart w:id="971" w:name="_Toc432430518"/>
      <w:bookmarkStart w:id="972" w:name="_Toc443397268"/>
      <w:r>
        <w:rPr>
          <w:rFonts w:ascii="Times New Roman" w:hAnsi="Times New Roman"/>
          <w:color w:val="auto"/>
          <w:highlight w:val="none"/>
        </w:rPr>
        <w:br w:type="page"/>
      </w:r>
      <w:bookmarkStart w:id="973" w:name="_Toc462069439"/>
      <w:bookmarkStart w:id="974" w:name="_Toc518557370"/>
      <w:bookmarkStart w:id="975" w:name="_Toc462066505"/>
      <w:bookmarkStart w:id="976" w:name="_Toc453622074"/>
      <w:r>
        <w:rPr>
          <w:rFonts w:ascii="Times New Roman" w:hAnsi="Times New Roman"/>
          <w:color w:val="auto"/>
          <w:highlight w:val="none"/>
        </w:rPr>
        <w:t>附件2 响应报价一览表</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pStyle w:val="155"/>
        <w:rPr>
          <w:rFonts w:ascii="Times New Roman" w:hAnsi="Times New Roman"/>
          <w:color w:val="auto"/>
          <w:highlight w:val="none"/>
        </w:rPr>
      </w:pPr>
      <w:bookmarkStart w:id="977" w:name="_Hlt182802782"/>
      <w:r>
        <w:rPr>
          <w:rFonts w:ascii="Times New Roman" w:hAnsi="Times New Roman"/>
          <w:color w:val="auto"/>
          <w:highlight w:val="none"/>
        </w:rPr>
        <w:t>响应报价一览表</w:t>
      </w:r>
    </w:p>
    <w:bookmarkEnd w:id="977"/>
    <w:p>
      <w:pPr>
        <w:rPr>
          <w:color w:val="auto"/>
          <w:szCs w:val="24"/>
          <w:highlight w:val="none"/>
        </w:rPr>
      </w:pPr>
      <w:r>
        <w:rPr>
          <w:color w:val="auto"/>
          <w:szCs w:val="24"/>
          <w:highlight w:val="none"/>
        </w:rPr>
        <w:t>项目名称：_______________</w:t>
      </w:r>
      <w:r>
        <w:rPr>
          <w:rFonts w:hint="eastAsia"/>
          <w:color w:val="auto"/>
          <w:szCs w:val="24"/>
          <w:highlight w:val="none"/>
        </w:rPr>
        <w:t xml:space="preserve">                      第    包</w:t>
      </w:r>
    </w:p>
    <w:tbl>
      <w:tblPr>
        <w:tblStyle w:val="4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3"/>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28" w:type="dxa"/>
            <w:gridSpan w:val="2"/>
            <w:vAlign w:val="center"/>
          </w:tcPr>
          <w:p>
            <w:pPr>
              <w:pStyle w:val="145"/>
              <w:rPr>
                <w:color w:val="auto"/>
                <w:szCs w:val="24"/>
                <w:highlight w:val="none"/>
              </w:rPr>
            </w:pPr>
            <w:r>
              <w:rPr>
                <w:color w:val="auto"/>
                <w:szCs w:val="24"/>
                <w:highlight w:val="none"/>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2893" w:type="dxa"/>
            <w:vAlign w:val="center"/>
          </w:tcPr>
          <w:p>
            <w:pPr>
              <w:pStyle w:val="145"/>
              <w:rPr>
                <w:color w:val="auto"/>
                <w:szCs w:val="24"/>
                <w:highlight w:val="none"/>
              </w:rPr>
            </w:pPr>
            <w:r>
              <w:rPr>
                <w:b/>
                <w:color w:val="auto"/>
                <w:szCs w:val="24"/>
                <w:highlight w:val="none"/>
              </w:rPr>
              <w:t>响应报价（含增值税总价，人民币元）</w:t>
            </w:r>
          </w:p>
        </w:tc>
        <w:tc>
          <w:tcPr>
            <w:tcW w:w="5635" w:type="dxa"/>
            <w:vAlign w:val="center"/>
          </w:tcPr>
          <w:p>
            <w:pPr>
              <w:pStyle w:val="145"/>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893" w:type="dxa"/>
            <w:vAlign w:val="center"/>
          </w:tcPr>
          <w:p>
            <w:pPr>
              <w:pStyle w:val="145"/>
              <w:rPr>
                <w:b/>
                <w:color w:val="auto"/>
                <w:szCs w:val="24"/>
                <w:highlight w:val="none"/>
              </w:rPr>
            </w:pPr>
            <w:r>
              <w:rPr>
                <w:rFonts w:hint="eastAsia"/>
                <w:b/>
                <w:color w:val="auto"/>
                <w:szCs w:val="24"/>
                <w:highlight w:val="none"/>
              </w:rPr>
              <w:t>承诺工期</w:t>
            </w:r>
          </w:p>
        </w:tc>
        <w:tc>
          <w:tcPr>
            <w:tcW w:w="5635" w:type="dxa"/>
            <w:vAlign w:val="center"/>
          </w:tcPr>
          <w:p>
            <w:pPr>
              <w:pStyle w:val="145"/>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893" w:type="dxa"/>
            <w:vAlign w:val="center"/>
          </w:tcPr>
          <w:p>
            <w:pPr>
              <w:pStyle w:val="145"/>
              <w:rPr>
                <w:b/>
                <w:color w:val="auto"/>
                <w:szCs w:val="24"/>
                <w:highlight w:val="none"/>
              </w:rPr>
            </w:pPr>
            <w:r>
              <w:rPr>
                <w:rFonts w:hint="eastAsia"/>
                <w:b/>
                <w:color w:val="auto"/>
                <w:szCs w:val="24"/>
                <w:highlight w:val="none"/>
              </w:rPr>
              <w:t>承诺工程质量</w:t>
            </w:r>
          </w:p>
        </w:tc>
        <w:tc>
          <w:tcPr>
            <w:tcW w:w="5635" w:type="dxa"/>
            <w:vAlign w:val="center"/>
          </w:tcPr>
          <w:p>
            <w:pPr>
              <w:pStyle w:val="145"/>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893" w:type="dxa"/>
            <w:vAlign w:val="center"/>
          </w:tcPr>
          <w:p>
            <w:pPr>
              <w:pStyle w:val="145"/>
              <w:rPr>
                <w:color w:val="auto"/>
                <w:szCs w:val="24"/>
                <w:highlight w:val="none"/>
              </w:rPr>
            </w:pPr>
            <w:r>
              <w:rPr>
                <w:b/>
                <w:bCs/>
                <w:color w:val="auto"/>
                <w:szCs w:val="24"/>
                <w:highlight w:val="none"/>
              </w:rPr>
              <w:t>其他声明</w:t>
            </w:r>
          </w:p>
        </w:tc>
        <w:tc>
          <w:tcPr>
            <w:tcW w:w="5635" w:type="dxa"/>
            <w:vAlign w:val="center"/>
          </w:tcPr>
          <w:p>
            <w:pPr>
              <w:pStyle w:val="145"/>
              <w:rPr>
                <w:color w:val="auto"/>
                <w:szCs w:val="24"/>
                <w:highlight w:val="none"/>
              </w:rPr>
            </w:pPr>
          </w:p>
        </w:tc>
      </w:tr>
    </w:tbl>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注：本表中的响应报价</w:t>
      </w:r>
      <w:r>
        <w:rPr>
          <w:rFonts w:hint="eastAsia" w:ascii="Times New Roman" w:hAnsi="Times New Roman"/>
          <w:color w:val="auto"/>
          <w:sz w:val="24"/>
          <w:szCs w:val="24"/>
          <w:highlight w:val="none"/>
        </w:rPr>
        <w:t>总价</w:t>
      </w:r>
      <w:r>
        <w:rPr>
          <w:rFonts w:ascii="Times New Roman" w:hAnsi="Times New Roman"/>
          <w:color w:val="auto"/>
          <w:sz w:val="24"/>
          <w:szCs w:val="24"/>
          <w:highlight w:val="none"/>
        </w:rPr>
        <w:t>金额应与响应分项报价表中的总价金额一致。</w:t>
      </w:r>
    </w:p>
    <w:p>
      <w:pPr>
        <w:rPr>
          <w:color w:val="auto"/>
          <w:szCs w:val="24"/>
          <w:highlight w:val="none"/>
        </w:rPr>
      </w:pPr>
    </w:p>
    <w:p>
      <w:pPr>
        <w:rPr>
          <w:color w:val="auto"/>
          <w:szCs w:val="24"/>
          <w:highlight w:val="none"/>
        </w:rPr>
      </w:pPr>
      <w:r>
        <w:rPr>
          <w:color w:val="auto"/>
          <w:szCs w:val="24"/>
          <w:highlight w:val="none"/>
        </w:rPr>
        <w:t>供应商授权代表（签字）：____________________</w:t>
      </w:r>
    </w:p>
    <w:p>
      <w:pPr>
        <w:rPr>
          <w:color w:val="auto"/>
          <w:szCs w:val="24"/>
          <w:highlight w:val="none"/>
        </w:rPr>
      </w:pPr>
      <w:r>
        <w:rPr>
          <w:color w:val="auto"/>
          <w:szCs w:val="24"/>
          <w:highlight w:val="none"/>
        </w:rPr>
        <w:t xml:space="preserve">供应商名称（加盖公章）：_________________ </w:t>
      </w:r>
    </w:p>
    <w:p>
      <w:pPr>
        <w:rPr>
          <w:color w:val="auto"/>
          <w:szCs w:val="24"/>
          <w:highlight w:val="none"/>
        </w:rPr>
      </w:pPr>
      <w:r>
        <w:rPr>
          <w:color w:val="auto"/>
          <w:szCs w:val="24"/>
          <w:highlight w:val="none"/>
        </w:rPr>
        <w:t>日期：________________________________</w:t>
      </w:r>
    </w:p>
    <w:p>
      <w:pPr>
        <w:pStyle w:val="4"/>
        <w:rPr>
          <w:rFonts w:ascii="Times New Roman"/>
          <w:color w:val="auto"/>
          <w:highlight w:val="none"/>
        </w:rPr>
      </w:pPr>
      <w:r>
        <w:rPr>
          <w:rFonts w:ascii="Times New Roman" w:hAnsi="Times New Roman"/>
          <w:color w:val="auto"/>
          <w:highlight w:val="none"/>
        </w:rPr>
        <w:br w:type="page"/>
      </w:r>
      <w:bookmarkStart w:id="978" w:name="_Toc453622075"/>
      <w:bookmarkStart w:id="979" w:name="_Toc443397269"/>
      <w:bookmarkStart w:id="980" w:name="_Toc432430519"/>
      <w:bookmarkStart w:id="981" w:name="_Toc373513382"/>
      <w:bookmarkStart w:id="982" w:name="_Toc462069440"/>
      <w:bookmarkStart w:id="983" w:name="_Toc462066506"/>
      <w:bookmarkStart w:id="984" w:name="_Toc468116603"/>
      <w:bookmarkStart w:id="985" w:name="_Toc475460525"/>
      <w:bookmarkStart w:id="986" w:name="_Toc518557371"/>
      <w:bookmarkStart w:id="987" w:name="_Toc368053154"/>
      <w:bookmarkStart w:id="988" w:name="_Toc181326022"/>
      <w:bookmarkStart w:id="989" w:name="_Toc181326023"/>
      <w:bookmarkStart w:id="990" w:name="_Toc181326155"/>
      <w:bookmarkStart w:id="991" w:name="_Toc181326156"/>
      <w:bookmarkStart w:id="992" w:name="_Toc181504478"/>
      <w:bookmarkStart w:id="993" w:name="_Toc182205189"/>
      <w:bookmarkStart w:id="994" w:name="_Toc182205190"/>
      <w:bookmarkStart w:id="995" w:name="_Toc182205332"/>
      <w:bookmarkStart w:id="996" w:name="_Toc182205333"/>
      <w:bookmarkStart w:id="997" w:name="_Toc230013645"/>
      <w:bookmarkStart w:id="998" w:name="_Toc181504479"/>
      <w:bookmarkStart w:id="999" w:name="_Toc181864903"/>
      <w:bookmarkStart w:id="1000" w:name="_Toc230099810"/>
      <w:bookmarkStart w:id="1001" w:name="_Toc230583559"/>
      <w:bookmarkStart w:id="1002" w:name="_Toc232176289"/>
      <w:bookmarkStart w:id="1003" w:name="_Toc232395229"/>
      <w:bookmarkStart w:id="1004" w:name="_Toc249515377"/>
      <w:bookmarkStart w:id="1005" w:name="_Toc249525258"/>
      <w:bookmarkStart w:id="1006" w:name="_Toc256342159"/>
      <w:bookmarkStart w:id="1007" w:name="_Toc181864902"/>
      <w:bookmarkStart w:id="1008" w:name="_Toc424300143"/>
      <w:bookmarkStart w:id="1009" w:name="_Toc432430521"/>
      <w:bookmarkStart w:id="1010" w:name="_Toc443397270"/>
      <w:bookmarkStart w:id="1011" w:name="_Toc453622076"/>
      <w:bookmarkStart w:id="1012" w:name="_Toc462069441"/>
      <w:bookmarkStart w:id="1013" w:name="_Toc462066507"/>
      <w:bookmarkStart w:id="1014" w:name="_Toc205612627"/>
      <w:bookmarkStart w:id="1015" w:name="_Toc201995937"/>
      <w:bookmarkStart w:id="1016" w:name="_Toc202069415"/>
      <w:bookmarkStart w:id="1017" w:name="_Toc194888449"/>
      <w:bookmarkStart w:id="1018" w:name="_Toc194883175"/>
      <w:bookmarkStart w:id="1019" w:name="_Toc150774764"/>
      <w:bookmarkStart w:id="1020" w:name="_Toc150480797"/>
      <w:bookmarkStart w:id="1021" w:name="_Toc142311061"/>
      <w:bookmarkStart w:id="1022" w:name="_Toc287280568"/>
      <w:bookmarkStart w:id="1023" w:name="_Toc127151561"/>
      <w:bookmarkStart w:id="1024" w:name="_Toc287280317"/>
      <w:bookmarkStart w:id="1025" w:name="_Toc205612698"/>
      <w:bookmarkStart w:id="1026" w:name="_Toc182802951"/>
      <w:bookmarkStart w:id="1027" w:name="_Toc373513383"/>
      <w:r>
        <w:rPr>
          <w:rFonts w:ascii="Times New Roman"/>
          <w:color w:val="auto"/>
          <w:highlight w:val="none"/>
        </w:rPr>
        <w:t>附件3分项报价表</w:t>
      </w:r>
      <w:bookmarkEnd w:id="978"/>
      <w:bookmarkEnd w:id="979"/>
      <w:bookmarkEnd w:id="980"/>
      <w:bookmarkEnd w:id="981"/>
      <w:bookmarkEnd w:id="982"/>
      <w:bookmarkEnd w:id="983"/>
      <w:bookmarkEnd w:id="984"/>
      <w:bookmarkEnd w:id="985"/>
      <w:bookmarkEnd w:id="986"/>
    </w:p>
    <w:p>
      <w:pPr>
        <w:snapToGrid w:val="0"/>
        <w:jc w:val="center"/>
        <w:outlineLvl w:val="1"/>
        <w:rPr>
          <w:rFonts w:eastAsia="黑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工程项目投标报价汇总表</w:t>
      </w:r>
    </w:p>
    <w:p>
      <w:pPr>
        <w:tabs>
          <w:tab w:val="left" w:pos="720"/>
        </w:tabs>
        <w:adjustRightInd/>
        <w:spacing w:afterLines="50" w:line="300" w:lineRule="auto"/>
        <w:ind w:right="90"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531" w:type="dxa"/>
        <w:tblInd w:w="103" w:type="dxa"/>
        <w:tblLayout w:type="fixed"/>
        <w:tblCellMar>
          <w:top w:w="0" w:type="dxa"/>
          <w:left w:w="108" w:type="dxa"/>
          <w:bottom w:w="0" w:type="dxa"/>
          <w:right w:w="108" w:type="dxa"/>
        </w:tblCellMar>
      </w:tblPr>
      <w:tblGrid>
        <w:gridCol w:w="431"/>
        <w:gridCol w:w="1842"/>
        <w:gridCol w:w="993"/>
        <w:gridCol w:w="1134"/>
        <w:gridCol w:w="1275"/>
        <w:gridCol w:w="993"/>
        <w:gridCol w:w="1863"/>
      </w:tblGrid>
      <w:tr>
        <w:tblPrEx>
          <w:tblLayout w:type="fixed"/>
          <w:tblCellMar>
            <w:top w:w="0" w:type="dxa"/>
            <w:left w:w="108" w:type="dxa"/>
            <w:bottom w:w="0" w:type="dxa"/>
            <w:right w:w="108" w:type="dxa"/>
          </w:tblCellMar>
        </w:tblPrEx>
        <w:trPr>
          <w:trHeight w:val="461" w:hRule="atLeast"/>
        </w:trPr>
        <w:tc>
          <w:tcPr>
            <w:tcW w:w="431"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序号</w:t>
            </w:r>
          </w:p>
        </w:tc>
        <w:tc>
          <w:tcPr>
            <w:tcW w:w="1842"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单项工程名称</w:t>
            </w:r>
          </w:p>
        </w:tc>
        <w:tc>
          <w:tcPr>
            <w:tcW w:w="993"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金额（元）</w:t>
            </w:r>
          </w:p>
        </w:tc>
        <w:tc>
          <w:tcPr>
            <w:tcW w:w="5265" w:type="dxa"/>
            <w:gridSpan w:val="4"/>
            <w:tcBorders>
              <w:top w:val="single" w:color="auto" w:sz="4" w:space="0"/>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其中：</w:t>
            </w:r>
          </w:p>
        </w:tc>
      </w:tr>
      <w:tr>
        <w:tblPrEx>
          <w:tblLayout w:type="fixed"/>
          <w:tblCellMar>
            <w:top w:w="0" w:type="dxa"/>
            <w:left w:w="108" w:type="dxa"/>
            <w:bottom w:w="0" w:type="dxa"/>
            <w:right w:w="108" w:type="dxa"/>
          </w:tblCellMar>
        </w:tblPrEx>
        <w:trPr>
          <w:trHeight w:val="740" w:hRule="atLeast"/>
        </w:trPr>
        <w:tc>
          <w:tcPr>
            <w:tcW w:w="4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1134"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暂估价</w:t>
            </w:r>
          </w:p>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（元）</w:t>
            </w:r>
          </w:p>
        </w:tc>
        <w:tc>
          <w:tcPr>
            <w:tcW w:w="1275"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安全文明施工费（元）</w:t>
            </w:r>
          </w:p>
        </w:tc>
        <w:tc>
          <w:tcPr>
            <w:tcW w:w="99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规费（元）</w:t>
            </w:r>
          </w:p>
        </w:tc>
        <w:tc>
          <w:tcPr>
            <w:tcW w:w="186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hAnsi="宋体" w:cs="宋体"/>
                <w:color w:val="auto"/>
                <w:sz w:val="21"/>
                <w:szCs w:val="21"/>
                <w:highlight w:val="none"/>
              </w:rPr>
            </w:pPr>
            <w:r>
              <w:rPr>
                <w:rFonts w:hint="eastAsia" w:ascii="Arial" w:hAnsi="Arial" w:cs="Arial"/>
                <w:color w:val="auto"/>
                <w:kern w:val="2"/>
                <w:sz w:val="21"/>
                <w:szCs w:val="24"/>
                <w:highlight w:val="none"/>
              </w:rPr>
              <w:t>建筑垃圾运输处置费</w:t>
            </w:r>
            <w:r>
              <w:rPr>
                <w:rFonts w:hint="eastAsia" w:ascii="宋体" w:hAnsi="宋体" w:cs="宋体"/>
                <w:color w:val="auto"/>
                <w:sz w:val="21"/>
                <w:szCs w:val="21"/>
                <w:highlight w:val="none"/>
              </w:rPr>
              <w:t>（元）</w:t>
            </w: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40" w:hRule="atLeast"/>
        </w:trPr>
        <w:tc>
          <w:tcPr>
            <w:tcW w:w="2273" w:type="dxa"/>
            <w:gridSpan w:val="2"/>
            <w:tcBorders>
              <w:top w:val="single" w:color="auto" w:sz="4" w:space="0"/>
              <w:left w:val="single" w:color="auto" w:sz="4" w:space="0"/>
              <w:bottom w:val="single" w:color="auto" w:sz="4" w:space="0"/>
              <w:right w:val="single" w:color="000000" w:sz="4" w:space="0"/>
            </w:tcBorders>
            <w:noWrap/>
            <w:vAlign w:val="center"/>
          </w:tcPr>
          <w:p>
            <w:pPr>
              <w:widowControl/>
              <w:adjustRightInd/>
              <w:spacing w:line="240" w:lineRule="auto"/>
              <w:ind w:firstLine="0" w:firstLineChars="0"/>
              <w:jc w:val="center"/>
              <w:textAlignment w:val="auto"/>
              <w:rPr>
                <w:rFonts w:ascii="宋体" w:cs="宋体"/>
                <w:bCs/>
                <w:color w:val="auto"/>
                <w:sz w:val="21"/>
                <w:szCs w:val="21"/>
                <w:highlight w:val="none"/>
              </w:rPr>
            </w:pPr>
            <w:r>
              <w:rPr>
                <w:rFonts w:hint="eastAsia" w:ascii="宋体" w:hAnsi="宋体" w:cs="宋体"/>
                <w:bCs/>
                <w:color w:val="auto"/>
                <w:sz w:val="21"/>
                <w:szCs w:val="21"/>
                <w:highlight w:val="none"/>
              </w:rPr>
              <w:t>合计</w:t>
            </w:r>
          </w:p>
        </w:tc>
        <w:tc>
          <w:tcPr>
            <w:tcW w:w="993" w:type="dxa"/>
            <w:tcBorders>
              <w:top w:val="single" w:color="auto" w:sz="4" w:space="0"/>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bCs/>
                <w:color w:val="auto"/>
                <w:sz w:val="21"/>
                <w:szCs w:val="21"/>
                <w:highlight w:val="none"/>
              </w:rPr>
            </w:pPr>
          </w:p>
        </w:tc>
        <w:tc>
          <w:tcPr>
            <w:tcW w:w="1134" w:type="dxa"/>
            <w:tcBorders>
              <w:top w:val="single" w:color="auto" w:sz="4" w:space="0"/>
              <w:left w:val="nil"/>
              <w:bottom w:val="single" w:color="auto" w:sz="4" w:space="0"/>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single" w:color="auto" w:sz="4" w:space="0"/>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63"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bl>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p>
    <w:p>
      <w:pPr>
        <w:keepNext/>
        <w:keepLines/>
        <w:adjustRightInd/>
        <w:spacing w:beforeLines="50" w:afterLines="50"/>
        <w:ind w:firstLine="0" w:firstLineChars="0"/>
        <w:jc w:val="both"/>
        <w:textAlignment w:val="auto"/>
        <w:outlineLvl w:val="2"/>
        <w:rPr>
          <w:rFonts w:ascii="宋体"/>
          <w:color w:val="auto"/>
          <w:highlight w:val="none"/>
        </w:rPr>
      </w:pPr>
      <w:bookmarkStart w:id="1028" w:name="_Toc241459768"/>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单项工程投标报价汇总表</w:t>
      </w:r>
    </w:p>
    <w:p>
      <w:pPr>
        <w:tabs>
          <w:tab w:val="left" w:pos="720"/>
        </w:tabs>
        <w:adjustRightInd/>
        <w:spacing w:afterLines="50" w:line="300" w:lineRule="auto"/>
        <w:ind w:right="90"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425" w:type="dxa"/>
        <w:tblInd w:w="103" w:type="dxa"/>
        <w:tblLayout w:type="fixed"/>
        <w:tblCellMar>
          <w:top w:w="0" w:type="dxa"/>
          <w:left w:w="108" w:type="dxa"/>
          <w:bottom w:w="0" w:type="dxa"/>
          <w:right w:w="108" w:type="dxa"/>
        </w:tblCellMar>
      </w:tblPr>
      <w:tblGrid>
        <w:gridCol w:w="431"/>
        <w:gridCol w:w="1842"/>
        <w:gridCol w:w="993"/>
        <w:gridCol w:w="1134"/>
        <w:gridCol w:w="1275"/>
        <w:gridCol w:w="993"/>
        <w:gridCol w:w="1757"/>
      </w:tblGrid>
      <w:tr>
        <w:tblPrEx>
          <w:tblLayout w:type="fixed"/>
          <w:tblCellMar>
            <w:top w:w="0" w:type="dxa"/>
            <w:left w:w="108" w:type="dxa"/>
            <w:bottom w:w="0" w:type="dxa"/>
            <w:right w:w="108" w:type="dxa"/>
          </w:tblCellMar>
        </w:tblPrEx>
        <w:trPr>
          <w:trHeight w:val="458" w:hRule="atLeast"/>
        </w:trPr>
        <w:tc>
          <w:tcPr>
            <w:tcW w:w="431"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bookmarkStart w:id="1029" w:name="_Toc342296532"/>
            <w:r>
              <w:rPr>
                <w:rFonts w:hint="eastAsia" w:ascii="宋体" w:hAnsi="宋体" w:cs="宋体"/>
                <w:color w:val="auto"/>
                <w:sz w:val="21"/>
                <w:szCs w:val="21"/>
                <w:highlight w:val="none"/>
              </w:rPr>
              <w:t>序号</w:t>
            </w:r>
          </w:p>
        </w:tc>
        <w:tc>
          <w:tcPr>
            <w:tcW w:w="1842"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单位工程名称</w:t>
            </w:r>
          </w:p>
        </w:tc>
        <w:tc>
          <w:tcPr>
            <w:tcW w:w="993"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金额（元）</w:t>
            </w:r>
          </w:p>
        </w:tc>
        <w:tc>
          <w:tcPr>
            <w:tcW w:w="5159" w:type="dxa"/>
            <w:gridSpan w:val="4"/>
            <w:tcBorders>
              <w:top w:val="single" w:color="auto" w:sz="4" w:space="0"/>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其中：</w:t>
            </w:r>
          </w:p>
        </w:tc>
      </w:tr>
      <w:tr>
        <w:tblPrEx>
          <w:tblLayout w:type="fixed"/>
          <w:tblCellMar>
            <w:top w:w="0" w:type="dxa"/>
            <w:left w:w="108" w:type="dxa"/>
            <w:bottom w:w="0" w:type="dxa"/>
            <w:right w:w="108" w:type="dxa"/>
          </w:tblCellMar>
        </w:tblPrEx>
        <w:trPr>
          <w:trHeight w:val="735" w:hRule="atLeast"/>
        </w:trPr>
        <w:tc>
          <w:tcPr>
            <w:tcW w:w="431"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1134"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r>
              <w:rPr>
                <w:rFonts w:hint="eastAsia" w:ascii="宋体" w:hAnsi="宋体" w:cs="宋体"/>
                <w:color w:val="auto"/>
                <w:sz w:val="21"/>
                <w:szCs w:val="21"/>
                <w:highlight w:val="none"/>
              </w:rPr>
              <w:t>暂估价</w:t>
            </w:r>
          </w:p>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（元）</w:t>
            </w:r>
          </w:p>
        </w:tc>
        <w:tc>
          <w:tcPr>
            <w:tcW w:w="1275"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安全文明施工费（元）</w:t>
            </w:r>
          </w:p>
        </w:tc>
        <w:tc>
          <w:tcPr>
            <w:tcW w:w="99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规费</w:t>
            </w:r>
          </w:p>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（元）</w:t>
            </w:r>
          </w:p>
        </w:tc>
        <w:tc>
          <w:tcPr>
            <w:tcW w:w="1757"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hAnsi="宋体" w:cs="宋体"/>
                <w:color w:val="auto"/>
                <w:sz w:val="21"/>
                <w:szCs w:val="21"/>
                <w:highlight w:val="none"/>
              </w:rPr>
            </w:pPr>
            <w:r>
              <w:rPr>
                <w:rFonts w:hint="eastAsia" w:ascii="Arial" w:hAnsi="Arial" w:cs="Arial"/>
                <w:color w:val="auto"/>
                <w:kern w:val="2"/>
                <w:sz w:val="21"/>
                <w:szCs w:val="24"/>
                <w:highlight w:val="none"/>
              </w:rPr>
              <w:t>建筑垃圾运输处置费</w:t>
            </w:r>
            <w:r>
              <w:rPr>
                <w:rFonts w:hint="eastAsia" w:ascii="宋体" w:hAnsi="宋体" w:cs="宋体"/>
                <w:color w:val="auto"/>
                <w:sz w:val="21"/>
                <w:szCs w:val="21"/>
                <w:highlight w:val="none"/>
              </w:rPr>
              <w:t>（元）</w:t>
            </w: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42" w:type="dxa"/>
            <w:tcBorders>
              <w:top w:val="nil"/>
              <w:left w:val="nil"/>
              <w:bottom w:val="nil"/>
              <w:right w:val="single" w:color="000000" w:sz="4" w:space="0"/>
            </w:tcBorders>
            <w:noWrap/>
            <w:vAlign w:val="center"/>
          </w:tcPr>
          <w:p>
            <w:pPr>
              <w:widowControl/>
              <w:adjustRightInd/>
              <w:spacing w:line="240" w:lineRule="auto"/>
              <w:ind w:firstLine="0" w:firstLineChars="0"/>
              <w:textAlignment w:val="auto"/>
              <w:rPr>
                <w:rFonts w:ascii="宋体" w:cs="宋体"/>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nil"/>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nil"/>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431"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000000"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134" w:type="dxa"/>
            <w:tcBorders>
              <w:top w:val="nil"/>
              <w:left w:val="nil"/>
              <w:bottom w:val="single" w:color="auto" w:sz="4" w:space="0"/>
              <w:right w:val="nil"/>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nil"/>
              <w:left w:val="nil"/>
              <w:bottom w:val="single" w:color="auto" w:sz="4" w:space="0"/>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735" w:hRule="atLeast"/>
        </w:trPr>
        <w:tc>
          <w:tcPr>
            <w:tcW w:w="2273" w:type="dxa"/>
            <w:gridSpan w:val="2"/>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bCs/>
                <w:color w:val="auto"/>
                <w:sz w:val="21"/>
                <w:szCs w:val="21"/>
                <w:highlight w:val="none"/>
              </w:rPr>
            </w:pPr>
            <w:r>
              <w:rPr>
                <w:rFonts w:hint="eastAsia" w:ascii="宋体" w:hAnsi="宋体" w:cs="宋体"/>
                <w:bCs/>
                <w:color w:val="auto"/>
                <w:sz w:val="21"/>
                <w:szCs w:val="21"/>
                <w:highlight w:val="none"/>
              </w:rPr>
              <w:t>合计</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bCs/>
                <w:color w:val="auto"/>
                <w:sz w:val="21"/>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757" w:type="dxa"/>
            <w:tcBorders>
              <w:top w:val="single" w:color="auto" w:sz="4" w:space="0"/>
              <w:left w:val="single" w:color="auto" w:sz="4" w:space="0"/>
              <w:bottom w:val="single" w:color="auto" w:sz="4" w:space="0"/>
              <w:right w:val="single" w:color="auto" w:sz="4" w:space="0"/>
            </w:tcBorders>
          </w:tcPr>
          <w:p>
            <w:pPr>
              <w:widowControl/>
              <w:adjustRightInd/>
              <w:spacing w:line="240" w:lineRule="auto"/>
              <w:ind w:firstLine="0" w:firstLineChars="0"/>
              <w:textAlignment w:val="auto"/>
              <w:rPr>
                <w:rFonts w:ascii="Arial" w:hAnsi="Arial" w:cs="Arial"/>
                <w:color w:val="auto"/>
                <w:sz w:val="21"/>
                <w:szCs w:val="21"/>
                <w:highlight w:val="none"/>
              </w:rPr>
            </w:pPr>
          </w:p>
        </w:tc>
      </w:tr>
    </w:tbl>
    <w:p>
      <w:pPr>
        <w:adjustRightInd/>
        <w:spacing w:line="240" w:lineRule="auto"/>
        <w:ind w:firstLine="0" w:firstLineChars="0"/>
        <w:jc w:val="both"/>
        <w:textAlignment w:val="auto"/>
        <w:rPr>
          <w:color w:val="auto"/>
          <w:kern w:val="2"/>
          <w:sz w:val="21"/>
          <w:szCs w:val="24"/>
          <w:highlight w:val="none"/>
        </w:rPr>
        <w:sectPr>
          <w:headerReference r:id="rId16" w:type="first"/>
          <w:footerReference r:id="rId19" w:type="first"/>
          <w:footerReference r:id="rId17" w:type="default"/>
          <w:headerReference r:id="rId15" w:type="even"/>
          <w:footerReference r:id="rId18" w:type="even"/>
          <w:pgSz w:w="11906" w:h="16838"/>
          <w:pgMar w:top="1440" w:right="1797" w:bottom="1440" w:left="1797" w:header="851" w:footer="992" w:gutter="0"/>
          <w:cols w:space="425" w:num="1"/>
          <w:docGrid w:linePitch="312" w:charSpace="0"/>
        </w:sectPr>
      </w:pPr>
    </w:p>
    <w:bookmarkEnd w:id="1028"/>
    <w:bookmarkEnd w:id="1029"/>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单位工程投标报价汇总表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636"/>
        <w:gridCol w:w="1747"/>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汇总内容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金额（元）</w:t>
            </w: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其中：暂估价（元）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3636"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分部分项工程</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1.1</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r>
              <w:rPr>
                <w:rFonts w:hint="eastAsia" w:ascii="Arial" w:hAnsi="Arial" w:cs="Arial"/>
                <w:color w:val="auto"/>
                <w:kern w:val="2"/>
                <w:sz w:val="21"/>
                <w:szCs w:val="24"/>
                <w:highlight w:val="none"/>
              </w:rPr>
              <w:t>1.1</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其中：弃土或渣土运输和消纳费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1.2</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r>
              <w:rPr>
                <w:rFonts w:hint="eastAsia" w:ascii="Arial" w:hAnsi="Arial" w:cs="Arial"/>
                <w:color w:val="auto"/>
                <w:kern w:val="2"/>
                <w:sz w:val="21"/>
                <w:szCs w:val="24"/>
                <w:highlight w:val="none"/>
              </w:rPr>
              <w:t>2.1</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其中：弃土或渣土运输和消纳费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1.3</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r>
              <w:rPr>
                <w:rFonts w:hint="eastAsia" w:ascii="Arial" w:hAnsi="Arial" w:cs="Arial"/>
                <w:color w:val="auto"/>
                <w:kern w:val="2"/>
                <w:sz w:val="21"/>
                <w:szCs w:val="24"/>
                <w:highlight w:val="none"/>
              </w:rPr>
              <w:t>3.1</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其中：弃土或渣土运输和消纳费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1.4</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1.5</w:t>
            </w: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363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3636"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措施项目</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2.1</w:t>
            </w:r>
          </w:p>
        </w:tc>
        <w:tc>
          <w:tcPr>
            <w:tcW w:w="3636" w:type="dxa"/>
            <w:vAlign w:val="center"/>
          </w:tcPr>
          <w:p>
            <w:pPr>
              <w:tabs>
                <w:tab w:val="left" w:pos="720"/>
              </w:tabs>
              <w:adjustRightInd/>
              <w:spacing w:line="300" w:lineRule="auto"/>
              <w:ind w:firstLine="210" w:firstLineChars="1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其中：安全文明施工费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r>
              <w:rPr>
                <w:rFonts w:hint="eastAsia" w:ascii="Arial" w:hAnsi="Arial" w:cs="Arial"/>
                <w:color w:val="auto"/>
                <w:kern w:val="2"/>
                <w:sz w:val="21"/>
                <w:szCs w:val="24"/>
                <w:highlight w:val="none"/>
              </w:rPr>
              <w:t>2</w:t>
            </w:r>
          </w:p>
        </w:tc>
        <w:tc>
          <w:tcPr>
            <w:tcW w:w="3636" w:type="dxa"/>
            <w:vAlign w:val="center"/>
          </w:tcPr>
          <w:p>
            <w:pPr>
              <w:tabs>
                <w:tab w:val="left" w:pos="720"/>
              </w:tabs>
              <w:adjustRightInd/>
              <w:spacing w:line="300" w:lineRule="auto"/>
              <w:ind w:firstLine="840" w:firstLineChars="4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施工垃圾场外运输和消纳费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w:t>
            </w:r>
          </w:p>
        </w:tc>
        <w:tc>
          <w:tcPr>
            <w:tcW w:w="3636"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其他项目</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3.1</w:t>
            </w:r>
          </w:p>
        </w:tc>
        <w:tc>
          <w:tcPr>
            <w:tcW w:w="3636" w:type="dxa"/>
            <w:vAlign w:val="center"/>
          </w:tcPr>
          <w:p>
            <w:pPr>
              <w:tabs>
                <w:tab w:val="left" w:pos="720"/>
              </w:tabs>
              <w:adjustRightInd/>
              <w:spacing w:line="300" w:lineRule="auto"/>
              <w:ind w:firstLine="210" w:firstLineChars="1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其中：暂列金额（不包括计日工）</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3.2</w:t>
            </w:r>
          </w:p>
        </w:tc>
        <w:tc>
          <w:tcPr>
            <w:tcW w:w="3636" w:type="dxa"/>
            <w:vAlign w:val="center"/>
          </w:tcPr>
          <w:p>
            <w:pPr>
              <w:tabs>
                <w:tab w:val="left" w:pos="720"/>
              </w:tabs>
              <w:adjustRightInd/>
              <w:spacing w:line="300" w:lineRule="auto"/>
              <w:ind w:firstLine="210" w:firstLineChars="1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其中：专业工程暂估价</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3.3</w:t>
            </w:r>
          </w:p>
        </w:tc>
        <w:tc>
          <w:tcPr>
            <w:tcW w:w="3636" w:type="dxa"/>
            <w:vAlign w:val="center"/>
          </w:tcPr>
          <w:p>
            <w:pPr>
              <w:tabs>
                <w:tab w:val="left" w:pos="720"/>
              </w:tabs>
              <w:adjustRightInd/>
              <w:spacing w:line="300" w:lineRule="auto"/>
              <w:ind w:firstLine="210" w:firstLineChars="1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其中：计日工</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3.4</w:t>
            </w:r>
          </w:p>
        </w:tc>
        <w:tc>
          <w:tcPr>
            <w:tcW w:w="3636" w:type="dxa"/>
            <w:vAlign w:val="center"/>
          </w:tcPr>
          <w:p>
            <w:pPr>
              <w:tabs>
                <w:tab w:val="left" w:pos="720"/>
              </w:tabs>
              <w:adjustRightInd/>
              <w:spacing w:line="300" w:lineRule="auto"/>
              <w:ind w:firstLine="210" w:firstLineChars="10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其中：总承包服务费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4</w:t>
            </w:r>
          </w:p>
        </w:tc>
        <w:tc>
          <w:tcPr>
            <w:tcW w:w="3636"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规费</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0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5</w:t>
            </w:r>
          </w:p>
        </w:tc>
        <w:tc>
          <w:tcPr>
            <w:tcW w:w="3636"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税金</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4536" w:type="dxa"/>
            <w:gridSpan w:val="2"/>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投标报价合计</w:t>
            </w:r>
            <w:r>
              <w:rPr>
                <w:rFonts w:ascii="Arial" w:hAnsi="Arial" w:cs="Arial"/>
                <w:color w:val="auto"/>
                <w:kern w:val="2"/>
                <w:sz w:val="21"/>
                <w:szCs w:val="24"/>
                <w:highlight w:val="none"/>
              </w:rPr>
              <w:t>=1+2+3+4+5</w:t>
            </w:r>
          </w:p>
        </w:tc>
        <w:tc>
          <w:tcPr>
            <w:tcW w:w="174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9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bl>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p>
    <w:p>
      <w:pPr>
        <w:keepNext/>
        <w:keepLines/>
        <w:adjustRightInd/>
        <w:spacing w:beforeLines="50" w:afterLines="50"/>
        <w:ind w:firstLine="0" w:firstLineChars="0"/>
        <w:jc w:val="both"/>
        <w:textAlignment w:val="auto"/>
        <w:outlineLvl w:val="2"/>
        <w:rPr>
          <w:rFonts w:ascii="宋体"/>
          <w:color w:val="auto"/>
          <w:highlight w:val="none"/>
        </w:rPr>
      </w:pPr>
      <w:r>
        <w:rPr>
          <w:rFonts w:ascii="Arial" w:hAnsi="Arial" w:cs="Arial"/>
          <w:color w:val="auto"/>
          <w:highlight w:val="none"/>
        </w:rPr>
        <w:br w:type="page"/>
      </w: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分部分项工程和单价措施项目清单与计价表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260"/>
        <w:gridCol w:w="1620"/>
        <w:gridCol w:w="1080"/>
        <w:gridCol w:w="900"/>
        <w:gridCol w:w="72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72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108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子目编码</w:t>
            </w:r>
          </w:p>
        </w:tc>
        <w:tc>
          <w:tcPr>
            <w:tcW w:w="126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子目名称</w:t>
            </w:r>
          </w:p>
        </w:tc>
        <w:tc>
          <w:tcPr>
            <w:tcW w:w="162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子目特征描述</w:t>
            </w:r>
          </w:p>
        </w:tc>
        <w:tc>
          <w:tcPr>
            <w:tcW w:w="108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计量单位</w:t>
            </w:r>
          </w:p>
        </w:tc>
        <w:tc>
          <w:tcPr>
            <w:tcW w:w="90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工程量</w:t>
            </w:r>
          </w:p>
        </w:tc>
        <w:tc>
          <w:tcPr>
            <w:tcW w:w="2340"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7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综合单价</w:t>
            </w:r>
          </w:p>
        </w:tc>
        <w:tc>
          <w:tcPr>
            <w:tcW w:w="720"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合价</w:t>
            </w: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trPr>
        <w:tc>
          <w:tcPr>
            <w:tcW w:w="7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暂估价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6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08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80" w:type="dxa"/>
            <w:gridSpan w:val="7"/>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本页小计</w:t>
            </w: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380" w:type="dxa"/>
            <w:gridSpan w:val="7"/>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72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tabs>
          <w:tab w:val="left" w:pos="720"/>
        </w:tabs>
        <w:adjustRightInd/>
        <w:spacing w:afterLines="50" w:line="300" w:lineRule="auto"/>
        <w:ind w:right="26" w:firstLine="0" w:firstLineChars="0"/>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1"/>
          <w:highlight w:val="none"/>
        </w:rPr>
        <w:t>为计取规费等的使用，可在表中增设其中：“定额人工费”。</w:t>
      </w:r>
    </w:p>
    <w:p>
      <w:pPr>
        <w:keepNext/>
        <w:keepLines/>
        <w:adjustRightInd/>
        <w:spacing w:before="260" w:after="260" w:line="416" w:lineRule="auto"/>
        <w:ind w:firstLine="0" w:firstLineChars="0"/>
        <w:jc w:val="both"/>
        <w:textAlignment w:val="auto"/>
        <w:outlineLvl w:val="2"/>
        <w:rPr>
          <w:rFonts w:ascii="Arial" w:hAnsi="Arial" w:cs="Arial"/>
          <w:bCs/>
          <w:color w:val="auto"/>
          <w:sz w:val="32"/>
          <w:szCs w:val="44"/>
          <w:highlight w:val="none"/>
        </w:rPr>
        <w:sectPr>
          <w:pgSz w:w="11906" w:h="16838"/>
          <w:pgMar w:top="1440" w:right="1797" w:bottom="1440" w:left="1797" w:header="851" w:footer="992" w:gutter="0"/>
          <w:cols w:space="425" w:num="1"/>
          <w:docGrid w:linePitch="312" w:charSpace="0"/>
        </w:sectPr>
      </w:pPr>
    </w:p>
    <w:p>
      <w:pPr>
        <w:tabs>
          <w:tab w:val="left" w:pos="720"/>
        </w:tabs>
        <w:adjustRightInd/>
        <w:spacing w:afterLines="50" w:line="300" w:lineRule="auto"/>
        <w:ind w:firstLine="0" w:firstLineChars="0"/>
        <w:jc w:val="center"/>
        <w:textAlignment w:val="auto"/>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综合单价分析表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37"/>
        <w:gridCol w:w="141"/>
        <w:gridCol w:w="709"/>
        <w:gridCol w:w="236"/>
        <w:gridCol w:w="756"/>
        <w:gridCol w:w="426"/>
        <w:gridCol w:w="339"/>
        <w:gridCol w:w="228"/>
        <w:gridCol w:w="330"/>
        <w:gridCol w:w="651"/>
        <w:gridCol w:w="11"/>
        <w:gridCol w:w="567"/>
        <w:gridCol w:w="425"/>
        <w:gridCol w:w="425"/>
        <w:gridCol w:w="284"/>
        <w:gridCol w:w="142"/>
        <w:gridCol w:w="613"/>
        <w:gridCol w:w="662"/>
        <w:gridCol w:w="709"/>
        <w:gridCol w:w="851"/>
        <w:gridCol w:w="141"/>
        <w:gridCol w:w="709"/>
        <w:gridCol w:w="142"/>
        <w:gridCol w:w="992"/>
        <w:gridCol w:w="425"/>
        <w:gridCol w:w="85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134"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4"/>
                <w:highlight w:val="none"/>
              </w:rPr>
              <w:t>子目</w:t>
            </w:r>
            <w:r>
              <w:rPr>
                <w:rFonts w:hint="eastAsia" w:ascii="Arial" w:hAnsi="Arial" w:cs="Arial"/>
                <w:color w:val="auto"/>
                <w:kern w:val="2"/>
                <w:sz w:val="21"/>
                <w:szCs w:val="21"/>
                <w:highlight w:val="none"/>
              </w:rPr>
              <w:t>编码</w:t>
            </w:r>
          </w:p>
        </w:tc>
        <w:tc>
          <w:tcPr>
            <w:tcW w:w="945"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18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4"/>
                <w:highlight w:val="none"/>
              </w:rPr>
              <w:t>子目</w:t>
            </w:r>
            <w:r>
              <w:rPr>
                <w:rFonts w:hint="eastAsia" w:ascii="Arial" w:hAnsi="Arial" w:cs="Arial"/>
                <w:color w:val="auto"/>
                <w:kern w:val="2"/>
                <w:sz w:val="21"/>
                <w:szCs w:val="21"/>
                <w:highlight w:val="none"/>
              </w:rPr>
              <w:t>名称</w:t>
            </w:r>
          </w:p>
        </w:tc>
        <w:tc>
          <w:tcPr>
            <w:tcW w:w="897"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22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计量单位</w:t>
            </w: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03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工程量</w:t>
            </w:r>
          </w:p>
        </w:tc>
        <w:tc>
          <w:tcPr>
            <w:tcW w:w="6191" w:type="dxa"/>
            <w:gridSpan w:val="10"/>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67" w:type="dxa"/>
            <w:gridSpan w:val="2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清单综合单价组成明细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993" w:type="dxa"/>
            <w:gridSpan w:val="2"/>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定额</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编号</w:t>
            </w:r>
          </w:p>
        </w:tc>
        <w:tc>
          <w:tcPr>
            <w:tcW w:w="850" w:type="dxa"/>
            <w:gridSpan w:val="2"/>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定额</w:t>
            </w:r>
            <w:r>
              <w:rPr>
                <w:rFonts w:hint="eastAsia" w:ascii="Arial" w:hAnsi="Arial" w:cs="Arial"/>
                <w:color w:val="auto"/>
                <w:kern w:val="2"/>
                <w:sz w:val="21"/>
                <w:szCs w:val="24"/>
                <w:highlight w:val="none"/>
              </w:rPr>
              <w:t>子目</w:t>
            </w:r>
            <w:r>
              <w:rPr>
                <w:rFonts w:hint="eastAsia" w:ascii="Arial" w:hAnsi="Arial" w:cs="Arial"/>
                <w:color w:val="auto"/>
                <w:kern w:val="2"/>
                <w:sz w:val="21"/>
                <w:szCs w:val="21"/>
                <w:highlight w:val="none"/>
              </w:rPr>
              <w:t>名称</w:t>
            </w:r>
          </w:p>
        </w:tc>
        <w:tc>
          <w:tcPr>
            <w:tcW w:w="992" w:type="dxa"/>
            <w:gridSpan w:val="2"/>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定额</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单位</w:t>
            </w:r>
          </w:p>
        </w:tc>
        <w:tc>
          <w:tcPr>
            <w:tcW w:w="993" w:type="dxa"/>
            <w:gridSpan w:val="3"/>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数量</w:t>
            </w:r>
          </w:p>
        </w:tc>
        <w:tc>
          <w:tcPr>
            <w:tcW w:w="4819" w:type="dxa"/>
            <w:gridSpan w:val="11"/>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单价</w:t>
            </w:r>
          </w:p>
        </w:tc>
        <w:tc>
          <w:tcPr>
            <w:tcW w:w="4820"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993" w:type="dxa"/>
            <w:gridSpan w:val="2"/>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gridSpan w:val="2"/>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3" w:type="dxa"/>
            <w:gridSpan w:val="3"/>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人工费</w:t>
            </w:r>
          </w:p>
        </w:tc>
        <w:tc>
          <w:tcPr>
            <w:tcW w:w="99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材料费</w:t>
            </w:r>
          </w:p>
        </w:tc>
        <w:tc>
          <w:tcPr>
            <w:tcW w:w="851"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机械费</w:t>
            </w:r>
          </w:p>
        </w:tc>
        <w:tc>
          <w:tcPr>
            <w:tcW w:w="1275"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企业管理费</w:t>
            </w:r>
          </w:p>
        </w:tc>
        <w:tc>
          <w:tcPr>
            <w:tcW w:w="70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利润</w:t>
            </w:r>
          </w:p>
        </w:tc>
        <w:tc>
          <w:tcPr>
            <w:tcW w:w="99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人工费</w:t>
            </w:r>
          </w:p>
        </w:tc>
        <w:tc>
          <w:tcPr>
            <w:tcW w:w="851"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材料费</w:t>
            </w:r>
          </w:p>
        </w:tc>
        <w:tc>
          <w:tcPr>
            <w:tcW w:w="99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机械费</w:t>
            </w:r>
          </w:p>
        </w:tc>
        <w:tc>
          <w:tcPr>
            <w:tcW w:w="1276"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企业管理费</w:t>
            </w:r>
          </w:p>
        </w:tc>
        <w:tc>
          <w:tcPr>
            <w:tcW w:w="70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93"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3"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81"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003"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1"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275"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70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1"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276"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70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843"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人工单价</w:t>
            </w:r>
          </w:p>
        </w:tc>
        <w:tc>
          <w:tcPr>
            <w:tcW w:w="6804" w:type="dxa"/>
            <w:gridSpan w:val="16"/>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小计</w:t>
            </w:r>
          </w:p>
        </w:tc>
        <w:tc>
          <w:tcPr>
            <w:tcW w:w="99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1"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99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276"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70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843"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元</w:t>
            </w:r>
            <w:r>
              <w:rPr>
                <w:rFonts w:ascii="Arial" w:hAnsi="Arial" w:cs="Arial"/>
                <w:color w:val="auto"/>
                <w:kern w:val="2"/>
                <w:sz w:val="21"/>
                <w:szCs w:val="21"/>
                <w:highlight w:val="none"/>
              </w:rPr>
              <w:t>/</w:t>
            </w:r>
            <w:r>
              <w:rPr>
                <w:rFonts w:hint="eastAsia" w:ascii="Arial" w:hAnsi="Arial" w:cs="Arial"/>
                <w:color w:val="auto"/>
                <w:kern w:val="2"/>
                <w:sz w:val="21"/>
                <w:szCs w:val="21"/>
                <w:highlight w:val="none"/>
              </w:rPr>
              <w:t>工日</w:t>
            </w:r>
          </w:p>
        </w:tc>
        <w:tc>
          <w:tcPr>
            <w:tcW w:w="6804" w:type="dxa"/>
            <w:gridSpan w:val="16"/>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未计价材料费</w:t>
            </w:r>
          </w:p>
        </w:tc>
        <w:tc>
          <w:tcPr>
            <w:tcW w:w="4820"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647" w:type="dxa"/>
            <w:gridSpan w:val="20"/>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清单</w:t>
            </w:r>
            <w:r>
              <w:rPr>
                <w:rFonts w:hint="eastAsia" w:ascii="Arial" w:hAnsi="Arial" w:cs="Arial"/>
                <w:color w:val="auto"/>
                <w:kern w:val="2"/>
                <w:sz w:val="21"/>
                <w:szCs w:val="24"/>
                <w:highlight w:val="none"/>
              </w:rPr>
              <w:t>子目</w:t>
            </w:r>
            <w:r>
              <w:rPr>
                <w:rFonts w:hint="eastAsia" w:ascii="Arial" w:hAnsi="Arial" w:cs="Arial"/>
                <w:color w:val="auto"/>
                <w:kern w:val="2"/>
                <w:sz w:val="21"/>
                <w:szCs w:val="21"/>
                <w:highlight w:val="none"/>
              </w:rPr>
              <w:t>综合单价</w:t>
            </w:r>
          </w:p>
        </w:tc>
        <w:tc>
          <w:tcPr>
            <w:tcW w:w="4820"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56"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材</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料</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费</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明</w:t>
            </w:r>
          </w:p>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细</w:t>
            </w:r>
          </w:p>
        </w:tc>
        <w:tc>
          <w:tcPr>
            <w:tcW w:w="2844" w:type="dxa"/>
            <w:gridSpan w:val="7"/>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主要材料名称、规格、型号</w:t>
            </w:r>
          </w:p>
        </w:tc>
        <w:tc>
          <w:tcPr>
            <w:tcW w:w="2921"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单位</w:t>
            </w:r>
          </w:p>
        </w:tc>
        <w:tc>
          <w:tcPr>
            <w:tcW w:w="2126"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数量</w:t>
            </w: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单价</w:t>
            </w: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合价</w:t>
            </w:r>
          </w:p>
        </w:tc>
        <w:tc>
          <w:tcPr>
            <w:tcW w:w="155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暂估单价</w:t>
            </w:r>
            <w:r>
              <w:rPr>
                <w:rFonts w:ascii="Arial" w:hAnsi="Arial" w:cs="Arial"/>
                <w:color w:val="auto"/>
                <w:kern w:val="2"/>
                <w:sz w:val="21"/>
                <w:szCs w:val="21"/>
                <w:highlight w:val="none"/>
              </w:rPr>
              <w:t>(</w:t>
            </w:r>
            <w:r>
              <w:rPr>
                <w:rFonts w:hint="eastAsia" w:ascii="Arial" w:hAnsi="Arial" w:cs="Arial"/>
                <w:color w:val="auto"/>
                <w:kern w:val="2"/>
                <w:sz w:val="21"/>
                <w:szCs w:val="21"/>
                <w:highlight w:val="none"/>
              </w:rPr>
              <w:t>元</w:t>
            </w:r>
            <w:r>
              <w:rPr>
                <w:rFonts w:ascii="Arial" w:hAnsi="Arial" w:cs="Arial"/>
                <w:color w:val="auto"/>
                <w:kern w:val="2"/>
                <w:sz w:val="21"/>
                <w:szCs w:val="21"/>
                <w:highlight w:val="none"/>
              </w:rPr>
              <w:t>)</w:t>
            </w:r>
          </w:p>
        </w:tc>
        <w:tc>
          <w:tcPr>
            <w:tcW w:w="156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暂估合价</w:t>
            </w:r>
            <w:r>
              <w:rPr>
                <w:rFonts w:ascii="Arial" w:hAnsi="Arial" w:cs="Arial"/>
                <w:color w:val="auto"/>
                <w:kern w:val="2"/>
                <w:sz w:val="21"/>
                <w:szCs w:val="21"/>
                <w:highlight w:val="none"/>
              </w:rPr>
              <w:t>(</w:t>
            </w:r>
            <w:r>
              <w:rPr>
                <w:rFonts w:hint="eastAsia" w:ascii="Arial" w:hAnsi="Arial" w:cs="Arial"/>
                <w:color w:val="auto"/>
                <w:kern w:val="2"/>
                <w:sz w:val="21"/>
                <w:szCs w:val="21"/>
                <w:highlight w:val="none"/>
              </w:rPr>
              <w:t>元</w:t>
            </w:r>
            <w:r>
              <w:rPr>
                <w:rFonts w:ascii="Arial" w:hAnsi="Arial" w:cs="Arial"/>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5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844" w:type="dxa"/>
            <w:gridSpan w:val="7"/>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921"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126"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5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6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5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844" w:type="dxa"/>
            <w:gridSpan w:val="7"/>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921" w:type="dxa"/>
            <w:gridSpan w:val="8"/>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2126"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5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6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5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7891" w:type="dxa"/>
            <w:gridSpan w:val="19"/>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其他材料费</w:t>
            </w: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5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6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5" w:hRule="atLeast"/>
        </w:trPr>
        <w:tc>
          <w:tcPr>
            <w:tcW w:w="75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7891" w:type="dxa"/>
            <w:gridSpan w:val="19"/>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材料费小计</w:t>
            </w: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85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59"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c>
          <w:tcPr>
            <w:tcW w:w="1560"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1"/>
                <w:highlight w:val="none"/>
              </w:rPr>
            </w:pPr>
          </w:p>
        </w:tc>
      </w:tr>
    </w:tbl>
    <w:p>
      <w:pPr>
        <w:tabs>
          <w:tab w:val="left" w:pos="720"/>
        </w:tabs>
        <w:adjustRightInd/>
        <w:spacing w:afterLines="50" w:line="300" w:lineRule="auto"/>
        <w:ind w:right="26" w:firstLine="0" w:firstLineChars="0"/>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1"/>
          <w:highlight w:val="none"/>
        </w:rPr>
        <w:t>如不使用省级或行业建设主管部门发布的计价定额，可不填定额项目、编号等。表中人工费、材料费、机械费、企业管理费、利润均以不包含增值税（可抵扣进项税额）的价格计算。</w:t>
      </w:r>
    </w:p>
    <w:p>
      <w:pPr>
        <w:keepNext/>
        <w:keepLines/>
        <w:adjustRightInd/>
        <w:spacing w:before="260" w:after="260" w:line="416" w:lineRule="auto"/>
        <w:ind w:firstLine="0" w:firstLineChars="0"/>
        <w:jc w:val="both"/>
        <w:textAlignment w:val="auto"/>
        <w:outlineLvl w:val="2"/>
        <w:rPr>
          <w:rFonts w:ascii="Arial" w:hAnsi="Arial" w:cs="Arial"/>
          <w:bCs/>
          <w:color w:val="auto"/>
          <w:sz w:val="32"/>
          <w:szCs w:val="44"/>
          <w:highlight w:val="none"/>
        </w:rPr>
        <w:sectPr>
          <w:pgSz w:w="16838" w:h="11906" w:orient="landscape"/>
          <w:pgMar w:top="1418" w:right="1440" w:bottom="1418" w:left="1440" w:header="851" w:footer="992" w:gutter="0"/>
          <w:cols w:space="425" w:num="1"/>
          <w:docGrid w:linePitch="312" w:charSpace="0"/>
        </w:sectPr>
      </w:pPr>
    </w:p>
    <w:p>
      <w:pPr>
        <w:tabs>
          <w:tab w:val="left" w:pos="720"/>
        </w:tabs>
        <w:adjustRightInd/>
        <w:spacing w:afterLines="50" w:line="300" w:lineRule="auto"/>
        <w:ind w:firstLine="0" w:firstLineChars="0"/>
        <w:jc w:val="center"/>
        <w:textAlignment w:val="auto"/>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总价措施项目清单与计价表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2126"/>
        <w:gridCol w:w="1276"/>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项目</w:t>
            </w: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编码</w:t>
            </w:r>
          </w:p>
        </w:tc>
        <w:tc>
          <w:tcPr>
            <w:tcW w:w="212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子目名称</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计算基础</w:t>
            </w: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费率（</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金额（元）</w:t>
            </w: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安全文明施工费</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夜间施工增加费</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二次搬运费</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冬雨季施工增加费</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已完工程及设备保护</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6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85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2126"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954" w:type="dxa"/>
            <w:gridSpan w:val="5"/>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tabs>
          <w:tab w:val="left" w:pos="720"/>
        </w:tabs>
        <w:adjustRightInd/>
        <w:spacing w:line="300" w:lineRule="auto"/>
        <w:ind w:right="28" w:firstLine="0" w:firstLineChars="0"/>
        <w:jc w:val="both"/>
        <w:textAlignment w:val="auto"/>
        <w:rPr>
          <w:rFonts w:ascii="黑体" w:hAnsi="Arial" w:eastAsia="黑体" w:cs="Arial"/>
          <w:color w:val="auto"/>
          <w:kern w:val="2"/>
          <w:sz w:val="21"/>
          <w:szCs w:val="21"/>
          <w:highlight w:val="none"/>
        </w:rPr>
      </w:pPr>
    </w:p>
    <w:p>
      <w:pPr>
        <w:tabs>
          <w:tab w:val="left" w:pos="993"/>
        </w:tabs>
        <w:adjustRightInd/>
        <w:spacing w:line="300" w:lineRule="auto"/>
        <w:ind w:left="1026" w:leftChars="118" w:right="28" w:hanging="743" w:hangingChars="354"/>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ascii="Arial" w:hAnsi="Arial" w:cs="Arial"/>
          <w:color w:val="auto"/>
          <w:kern w:val="2"/>
          <w:sz w:val="21"/>
          <w:szCs w:val="21"/>
          <w:highlight w:val="none"/>
        </w:rPr>
        <w:t xml:space="preserve">1. </w:t>
      </w:r>
      <w:r>
        <w:rPr>
          <w:rFonts w:hint="eastAsia" w:ascii="Arial" w:hAnsi="Arial" w:cs="Arial"/>
          <w:color w:val="auto"/>
          <w:kern w:val="2"/>
          <w:sz w:val="21"/>
          <w:szCs w:val="21"/>
          <w:highlight w:val="none"/>
        </w:rPr>
        <w:t>“计价基础”中安全文明施工费可为“定额基价”、“定额人工费”或“定额人工费</w:t>
      </w:r>
      <w:r>
        <w:rPr>
          <w:rFonts w:ascii="Arial" w:hAnsi="Arial" w:cs="Arial"/>
          <w:color w:val="auto"/>
          <w:kern w:val="2"/>
          <w:sz w:val="21"/>
          <w:szCs w:val="21"/>
          <w:highlight w:val="none"/>
        </w:rPr>
        <w:t>+</w:t>
      </w:r>
      <w:r>
        <w:rPr>
          <w:rFonts w:hint="eastAsia" w:ascii="Arial" w:hAnsi="Arial" w:cs="Arial"/>
          <w:color w:val="auto"/>
          <w:kern w:val="2"/>
          <w:sz w:val="21"/>
          <w:szCs w:val="21"/>
          <w:highlight w:val="none"/>
        </w:rPr>
        <w:t>定额机械费”，其他项目可为“定额人工费”或“定额人工费</w:t>
      </w:r>
      <w:r>
        <w:rPr>
          <w:rFonts w:ascii="Arial" w:hAnsi="Arial" w:cs="Arial"/>
          <w:color w:val="auto"/>
          <w:kern w:val="2"/>
          <w:sz w:val="21"/>
          <w:szCs w:val="21"/>
          <w:highlight w:val="none"/>
        </w:rPr>
        <w:t>+</w:t>
      </w:r>
      <w:r>
        <w:rPr>
          <w:rFonts w:hint="eastAsia" w:ascii="Arial" w:hAnsi="Arial" w:cs="Arial"/>
          <w:color w:val="auto"/>
          <w:kern w:val="2"/>
          <w:sz w:val="21"/>
          <w:szCs w:val="21"/>
          <w:highlight w:val="none"/>
        </w:rPr>
        <w:t>定额机械费”。</w:t>
      </w:r>
    </w:p>
    <w:p>
      <w:pPr>
        <w:adjustRightInd/>
        <w:spacing w:line="240" w:lineRule="auto"/>
        <w:ind w:left="1090" w:leftChars="337" w:hanging="281" w:hangingChars="134"/>
        <w:jc w:val="both"/>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 xml:space="preserve">2. </w:t>
      </w:r>
      <w:r>
        <w:rPr>
          <w:rFonts w:hint="eastAsia" w:ascii="Arial" w:hAnsi="Arial" w:cs="Arial"/>
          <w:color w:val="auto"/>
          <w:kern w:val="2"/>
          <w:sz w:val="21"/>
          <w:szCs w:val="21"/>
          <w:highlight w:val="none"/>
        </w:rPr>
        <w:t>按施工方案计算的措施费，若无“计算基础”和“费率”的数值，也可只填“金额”数值，但应在表“</w:t>
      </w:r>
      <w:r>
        <w:rPr>
          <w:rFonts w:ascii="Arial" w:hAnsi="Arial" w:cs="Arial"/>
          <w:color w:val="auto"/>
          <w:kern w:val="2"/>
          <w:sz w:val="21"/>
          <w:szCs w:val="21"/>
          <w:highlight w:val="none"/>
        </w:rPr>
        <w:t>4.12</w:t>
      </w:r>
      <w:r>
        <w:rPr>
          <w:rFonts w:hint="eastAsia" w:ascii="Arial" w:hAnsi="Arial" w:cs="Arial"/>
          <w:color w:val="auto"/>
          <w:kern w:val="2"/>
          <w:sz w:val="21"/>
          <w:szCs w:val="21"/>
          <w:highlight w:val="none"/>
        </w:rPr>
        <w:t>措施项目报价组成分析表”中列明施工方案出处及计算方法。</w:t>
      </w:r>
    </w:p>
    <w:p>
      <w:pPr>
        <w:keepNext/>
        <w:keepLines/>
        <w:adjustRightInd/>
        <w:spacing w:beforeLines="50" w:afterLines="50"/>
        <w:ind w:firstLine="0" w:firstLineChars="0"/>
        <w:jc w:val="both"/>
        <w:textAlignment w:val="auto"/>
        <w:outlineLvl w:val="2"/>
        <w:rPr>
          <w:rFonts w:ascii="宋体"/>
          <w:color w:val="auto"/>
          <w:highlight w:val="none"/>
        </w:rPr>
      </w:pPr>
      <w:r>
        <w:rPr>
          <w:rFonts w:ascii="Arial" w:hAnsi="Arial" w:cs="Arial"/>
          <w:b/>
          <w:color w:val="auto"/>
          <w:szCs w:val="21"/>
          <w:highlight w:val="none"/>
        </w:rPr>
        <w:br w:type="page"/>
      </w:r>
    </w:p>
    <w:p>
      <w:pPr>
        <w:keepNext/>
        <w:keepLines/>
        <w:adjustRightInd/>
        <w:spacing w:beforeLines="50" w:afterLines="50"/>
        <w:ind w:firstLine="0" w:firstLineChars="0"/>
        <w:jc w:val="both"/>
        <w:textAlignment w:val="auto"/>
        <w:outlineLvl w:val="2"/>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其他项目清单与计价汇总表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40"/>
        <w:gridCol w:w="14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32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子目名称</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计量单位</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金额（元）</w:t>
            </w: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暂列金额（不包括计日工）</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项</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明细详见表</w:t>
            </w:r>
            <w:r>
              <w:rPr>
                <w:rFonts w:ascii="Arial" w:hAnsi="Arial" w:cs="Arial"/>
                <w:color w:val="auto"/>
                <w:kern w:val="2"/>
                <w:sz w:val="21"/>
                <w:szCs w:val="24"/>
                <w:highlight w:val="none"/>
              </w:rPr>
              <w:t>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暂估价</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2.1</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材料和工程设备暂估价</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明细详见表</w:t>
            </w:r>
            <w:r>
              <w:rPr>
                <w:rFonts w:ascii="Arial" w:hAnsi="Arial" w:cs="Arial"/>
                <w:color w:val="auto"/>
                <w:kern w:val="2"/>
                <w:sz w:val="21"/>
                <w:szCs w:val="24"/>
                <w:highlight w:val="none"/>
              </w:rPr>
              <w:t>4.10-2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2.2</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专业工程暂估价</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明细详见表</w:t>
            </w:r>
            <w:r>
              <w:rPr>
                <w:rFonts w:ascii="Arial" w:hAnsi="Arial" w:cs="Arial"/>
                <w:color w:val="auto"/>
                <w:kern w:val="2"/>
                <w:sz w:val="21"/>
                <w:szCs w:val="24"/>
                <w:highlight w:val="none"/>
              </w:rPr>
              <w:t>4.10-3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计日工</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明细详见表</w:t>
            </w:r>
            <w:r>
              <w:rPr>
                <w:rFonts w:ascii="Arial" w:hAnsi="Arial" w:cs="Arial"/>
                <w:color w:val="auto"/>
                <w:kern w:val="2"/>
                <w:sz w:val="21"/>
                <w:szCs w:val="24"/>
                <w:highlight w:val="none"/>
              </w:rPr>
              <w:t>4.10-4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4</w:t>
            </w:r>
          </w:p>
        </w:tc>
        <w:tc>
          <w:tcPr>
            <w:tcW w:w="3240"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总承包服务费</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明细详见表</w:t>
            </w:r>
            <w:r>
              <w:rPr>
                <w:rFonts w:ascii="Arial" w:hAnsi="Arial" w:cs="Arial"/>
                <w:color w:val="auto"/>
                <w:kern w:val="2"/>
                <w:sz w:val="21"/>
                <w:szCs w:val="24"/>
                <w:highlight w:val="none"/>
              </w:rPr>
              <w:t>4.10-5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3240" w:type="dxa"/>
            <w:vAlign w:val="center"/>
          </w:tcPr>
          <w:p>
            <w:pPr>
              <w:tabs>
                <w:tab w:val="left" w:pos="720"/>
              </w:tabs>
              <w:adjustRightInd/>
              <w:spacing w:line="300" w:lineRule="auto"/>
              <w:ind w:firstLine="0" w:firstLineChars="0"/>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32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90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32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5580"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144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6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bl>
    <w:p>
      <w:pPr>
        <w:tabs>
          <w:tab w:val="left" w:pos="720"/>
        </w:tabs>
        <w:adjustRightInd/>
        <w:spacing w:afterLines="50" w:line="300" w:lineRule="auto"/>
        <w:ind w:firstLine="0" w:firstLineChars="0"/>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1"/>
          <w:highlight w:val="none"/>
        </w:rPr>
        <w:t>材料和工程设备暂估单价进入清单子目综合单价，此处不汇总。</w:t>
      </w:r>
    </w:p>
    <w:p>
      <w:pPr>
        <w:keepNext/>
        <w:keepLines/>
        <w:adjustRightInd/>
        <w:spacing w:beforeLines="50" w:afterLines="50"/>
        <w:ind w:firstLine="0" w:firstLineChars="0"/>
        <w:jc w:val="both"/>
        <w:textAlignment w:val="auto"/>
        <w:outlineLvl w:val="2"/>
        <w:rPr>
          <w:rFonts w:ascii="宋体"/>
          <w:color w:val="auto"/>
          <w:highlight w:val="none"/>
        </w:rPr>
      </w:pPr>
      <w:r>
        <w:rPr>
          <w:rFonts w:ascii="Arial" w:hAnsi="Arial" w:cs="Arial"/>
          <w:b/>
          <w:color w:val="auto"/>
          <w:highlight w:val="none"/>
        </w:rPr>
        <w:br w:type="page"/>
      </w:r>
    </w:p>
    <w:p>
      <w:pPr>
        <w:keepNext/>
        <w:keepLines/>
        <w:adjustRightInd/>
        <w:spacing w:beforeLines="50" w:afterLines="50"/>
        <w:ind w:firstLine="0" w:firstLineChars="0"/>
        <w:jc w:val="both"/>
        <w:textAlignment w:val="auto"/>
        <w:outlineLvl w:val="2"/>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暂列金额明细表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46"/>
        <w:gridCol w:w="1546"/>
        <w:gridCol w:w="1172"/>
        <w:gridCol w:w="1150"/>
        <w:gridCol w:w="1281"/>
        <w:gridCol w:w="13"/>
        <w:gridCol w:w="118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1546"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子目名称</w:t>
            </w:r>
          </w:p>
        </w:tc>
        <w:tc>
          <w:tcPr>
            <w:tcW w:w="1546"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计量单位</w:t>
            </w:r>
          </w:p>
        </w:tc>
        <w:tc>
          <w:tcPr>
            <w:tcW w:w="3603" w:type="dxa"/>
            <w:gridSpan w:val="3"/>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暂列金额</w:t>
            </w:r>
          </w:p>
        </w:tc>
        <w:tc>
          <w:tcPr>
            <w:tcW w:w="1202" w:type="dxa"/>
            <w:gridSpan w:val="2"/>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除税金额</w:t>
            </w: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（元）</w:t>
            </w: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税金</w:t>
            </w: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（元）</w:t>
            </w: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含税金额（元）</w:t>
            </w:r>
          </w:p>
        </w:tc>
        <w:tc>
          <w:tcPr>
            <w:tcW w:w="1202" w:type="dxa"/>
            <w:gridSpan w:val="2"/>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3603"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11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94" w:type="dxa"/>
            <w:gridSpan w:val="2"/>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1" w:type="dxa"/>
            <w:gridSpan w:val="2"/>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tabs>
          <w:tab w:val="left" w:pos="720"/>
        </w:tabs>
        <w:adjustRightInd/>
        <w:spacing w:line="300" w:lineRule="auto"/>
        <w:ind w:firstLine="0" w:firstLineChars="0"/>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1"/>
          <w:highlight w:val="none"/>
        </w:rPr>
        <w:t>此表由招标人填写，不包括计日工。暂列金额项目部分如不能详列明细，也可只列暂列金额项目总金额，投标人在计取税金前应将上述“暂列金额”的“</w:t>
      </w:r>
      <w:r>
        <w:rPr>
          <w:rFonts w:hint="eastAsia" w:ascii="Arial" w:hAnsi="Arial" w:cs="Arial"/>
          <w:color w:val="auto"/>
          <w:kern w:val="2"/>
          <w:sz w:val="21"/>
          <w:szCs w:val="24"/>
          <w:highlight w:val="none"/>
        </w:rPr>
        <w:t>除税金额”</w:t>
      </w:r>
      <w:r>
        <w:rPr>
          <w:rFonts w:hint="eastAsia" w:ascii="Arial" w:hAnsi="Arial" w:cs="Arial"/>
          <w:color w:val="auto"/>
          <w:kern w:val="2"/>
          <w:sz w:val="21"/>
          <w:szCs w:val="21"/>
          <w:highlight w:val="none"/>
        </w:rPr>
        <w:t>计入投标价格中。</w:t>
      </w:r>
    </w:p>
    <w:p>
      <w:pPr>
        <w:keepNext/>
        <w:keepLines/>
        <w:adjustRightInd/>
        <w:spacing w:beforeLines="50" w:afterLines="50"/>
        <w:ind w:firstLine="0" w:firstLineChars="0"/>
        <w:jc w:val="both"/>
        <w:textAlignment w:val="auto"/>
        <w:outlineLvl w:val="2"/>
        <w:rPr>
          <w:rFonts w:ascii="宋体"/>
          <w:color w:val="auto"/>
          <w:highlight w:val="none"/>
        </w:rPr>
      </w:pPr>
      <w:r>
        <w:rPr>
          <w:rFonts w:ascii="宋体" w:cs="Arial"/>
          <w:b/>
          <w:color w:val="auto"/>
          <w:szCs w:val="21"/>
          <w:highlight w:val="none"/>
        </w:rPr>
        <w:br w:type="page"/>
      </w:r>
      <w:bookmarkStart w:id="1030" w:name="_Toc241459775"/>
    </w:p>
    <w:p>
      <w:pPr>
        <w:keepNext/>
        <w:keepLines/>
        <w:adjustRightInd/>
        <w:spacing w:beforeLines="50" w:afterLines="50"/>
        <w:ind w:firstLine="0" w:firstLineChars="0"/>
        <w:jc w:val="both"/>
        <w:textAlignment w:val="auto"/>
        <w:outlineLvl w:val="2"/>
        <w:rPr>
          <w:rFonts w:ascii="宋体"/>
          <w:color w:val="auto"/>
          <w:highlight w:val="none"/>
        </w:rPr>
      </w:pPr>
    </w:p>
    <w:p>
      <w:pPr>
        <w:widowControl/>
        <w:shd w:val="clear" w:color="auto" w:fill="FFFFFF"/>
        <w:adjustRightInd/>
        <w:spacing w:beforeLines="50" w:afterLines="50"/>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材料和工程设备暂估价表</w:t>
      </w:r>
    </w:p>
    <w:p>
      <w:pPr>
        <w:adjustRightInd/>
        <w:ind w:firstLine="0" w:firstLineChars="0"/>
        <w:jc w:val="both"/>
        <w:textAlignment w:val="auto"/>
        <w:rPr>
          <w:rFonts w:ascii="宋体" w:cs="Arial"/>
          <w:iCs/>
          <w:color w:val="auto"/>
          <w:kern w:val="2"/>
          <w:sz w:val="21"/>
          <w:szCs w:val="28"/>
          <w:highlight w:val="none"/>
        </w:rPr>
      </w:pPr>
      <w:r>
        <w:rPr>
          <w:rFonts w:hint="eastAsia"/>
          <w:color w:val="auto"/>
          <w:kern w:val="2"/>
          <w:sz w:val="21"/>
          <w:szCs w:val="24"/>
          <w:highlight w:val="none"/>
        </w:rPr>
        <w:t>工程名称：第页共页</w:t>
      </w:r>
    </w:p>
    <w:tbl>
      <w:tblPr>
        <w:tblStyle w:val="47"/>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3215"/>
        <w:gridCol w:w="1417"/>
        <w:gridCol w:w="113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6" w:hRule="atLeast"/>
        </w:trPr>
        <w:tc>
          <w:tcPr>
            <w:tcW w:w="533" w:type="dxa"/>
            <w:tcMar>
              <w:top w:w="0" w:type="dxa"/>
              <w:left w:w="108" w:type="dxa"/>
              <w:bottom w:w="0" w:type="dxa"/>
              <w:right w:w="108" w:type="dxa"/>
            </w:tcMar>
            <w:vAlign w:val="center"/>
          </w:tcPr>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序</w:t>
            </w:r>
          </w:p>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号</w:t>
            </w:r>
          </w:p>
        </w:tc>
        <w:tc>
          <w:tcPr>
            <w:tcW w:w="3215" w:type="dxa"/>
            <w:tcMar>
              <w:top w:w="0" w:type="dxa"/>
              <w:left w:w="108" w:type="dxa"/>
              <w:bottom w:w="0" w:type="dxa"/>
              <w:right w:w="108" w:type="dxa"/>
            </w:tcMar>
            <w:vAlign w:val="center"/>
          </w:tcPr>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材料（设备）名称、</w:t>
            </w:r>
          </w:p>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规格、型号</w:t>
            </w:r>
          </w:p>
        </w:tc>
        <w:tc>
          <w:tcPr>
            <w:tcW w:w="1417" w:type="dxa"/>
            <w:tcMar>
              <w:top w:w="0" w:type="dxa"/>
              <w:left w:w="108" w:type="dxa"/>
              <w:bottom w:w="0" w:type="dxa"/>
              <w:right w:w="108" w:type="dxa"/>
            </w:tcMar>
            <w:vAlign w:val="center"/>
          </w:tcPr>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计量</w:t>
            </w:r>
          </w:p>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单位</w:t>
            </w:r>
          </w:p>
        </w:tc>
        <w:tc>
          <w:tcPr>
            <w:tcW w:w="1134" w:type="dxa"/>
            <w:vAlign w:val="center"/>
          </w:tcPr>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暂估单价</w:t>
            </w:r>
          </w:p>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（元）</w:t>
            </w:r>
          </w:p>
        </w:tc>
        <w:tc>
          <w:tcPr>
            <w:tcW w:w="2694" w:type="dxa"/>
            <w:tcMar>
              <w:top w:w="0" w:type="dxa"/>
              <w:left w:w="108" w:type="dxa"/>
              <w:bottom w:w="0" w:type="dxa"/>
              <w:right w:w="108" w:type="dxa"/>
            </w:tcMar>
            <w:vAlign w:val="center"/>
          </w:tcPr>
          <w:p>
            <w:pPr>
              <w:adjustRightInd/>
              <w:spacing w:line="240" w:lineRule="auto"/>
              <w:ind w:firstLine="0" w:firstLineChars="0"/>
              <w:jc w:val="center"/>
              <w:textAlignment w:val="auto"/>
              <w:rPr>
                <w:color w:val="auto"/>
                <w:kern w:val="2"/>
                <w:sz w:val="21"/>
                <w:szCs w:val="24"/>
                <w:highlight w:val="none"/>
              </w:rPr>
            </w:pPr>
            <w:r>
              <w:rPr>
                <w:rFonts w:hint="eastAsia"/>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rFonts w:asci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exact"/>
        </w:trPr>
        <w:tc>
          <w:tcPr>
            <w:tcW w:w="533"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3215"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417"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113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c>
          <w:tcPr>
            <w:tcW w:w="2694" w:type="dxa"/>
            <w:tcMar>
              <w:top w:w="0" w:type="dxa"/>
              <w:left w:w="108" w:type="dxa"/>
              <w:bottom w:w="0" w:type="dxa"/>
              <w:right w:w="108" w:type="dxa"/>
            </w:tcMar>
          </w:tcPr>
          <w:p>
            <w:pPr>
              <w:widowControl/>
              <w:adjustRightInd/>
              <w:spacing w:line="301" w:lineRule="atLeast"/>
              <w:ind w:firstLine="0" w:firstLineChars="0"/>
              <w:jc w:val="center"/>
              <w:textAlignment w:val="auto"/>
              <w:rPr>
                <w:color w:val="auto"/>
                <w:szCs w:val="24"/>
                <w:highlight w:val="none"/>
              </w:rPr>
            </w:pPr>
          </w:p>
        </w:tc>
      </w:tr>
    </w:tbl>
    <w:p>
      <w:pPr>
        <w:tabs>
          <w:tab w:val="left" w:pos="720"/>
        </w:tabs>
        <w:adjustRightInd/>
        <w:spacing w:line="300" w:lineRule="auto"/>
        <w:ind w:left="708" w:hanging="707" w:hangingChars="337"/>
        <w:jc w:val="both"/>
        <w:textAlignment w:val="auto"/>
        <w:rPr>
          <w:rFonts w:ascii="黑体" w:hAnsi="Arial" w:eastAsia="黑体" w:cs="Arial"/>
          <w:color w:val="auto"/>
          <w:kern w:val="2"/>
          <w:sz w:val="21"/>
          <w:szCs w:val="21"/>
          <w:highlight w:val="none"/>
        </w:rPr>
      </w:pPr>
    </w:p>
    <w:bookmarkEnd w:id="1030"/>
    <w:p>
      <w:pPr>
        <w:tabs>
          <w:tab w:val="left" w:pos="720"/>
        </w:tabs>
        <w:adjustRightInd/>
        <w:spacing w:line="300" w:lineRule="auto"/>
        <w:ind w:left="708" w:hanging="707" w:hangingChars="337"/>
        <w:jc w:val="both"/>
        <w:textAlignment w:val="auto"/>
        <w:rPr>
          <w:rFonts w:ascii="宋体" w:cs="宋体"/>
          <w:color w:val="auto"/>
          <w:sz w:val="21"/>
          <w:szCs w:val="21"/>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4"/>
          <w:highlight w:val="none"/>
        </w:rPr>
        <w:t>投标人应将上述材料、工程设备暂估单价计入工程量清单综合单价报价中。</w:t>
      </w:r>
    </w:p>
    <w:p>
      <w:pPr>
        <w:tabs>
          <w:tab w:val="left" w:pos="720"/>
        </w:tabs>
        <w:adjustRightInd/>
        <w:spacing w:line="240" w:lineRule="auto"/>
        <w:ind w:firstLine="420"/>
        <w:jc w:val="both"/>
        <w:textAlignment w:val="auto"/>
        <w:rPr>
          <w:rFonts w:ascii="Arial" w:hAnsi="Arial" w:cs="Arial"/>
          <w:color w:val="auto"/>
          <w:kern w:val="2"/>
          <w:sz w:val="21"/>
          <w:szCs w:val="21"/>
          <w:highlight w:val="none"/>
        </w:rPr>
      </w:pPr>
    </w:p>
    <w:p>
      <w:pPr>
        <w:tabs>
          <w:tab w:val="left" w:pos="720"/>
        </w:tabs>
        <w:adjustRightInd/>
        <w:spacing w:line="240" w:lineRule="auto"/>
        <w:ind w:firstLine="420"/>
        <w:jc w:val="both"/>
        <w:textAlignment w:val="auto"/>
        <w:rPr>
          <w:rFonts w:ascii="Arial" w:hAnsi="Arial" w:cs="Arial"/>
          <w:color w:val="auto"/>
          <w:kern w:val="2"/>
          <w:sz w:val="21"/>
          <w:szCs w:val="24"/>
          <w:highlight w:val="none"/>
        </w:rPr>
        <w:sectPr>
          <w:pgSz w:w="11906" w:h="16838"/>
          <w:pgMar w:top="1440" w:right="1797" w:bottom="1440" w:left="1797" w:header="851" w:footer="992" w:gutter="0"/>
          <w:cols w:space="425" w:num="1"/>
          <w:docGrid w:linePitch="312" w:charSpace="0"/>
        </w:sectPr>
      </w:pPr>
    </w:p>
    <w:p>
      <w:pPr>
        <w:tabs>
          <w:tab w:val="left" w:pos="720"/>
        </w:tabs>
        <w:adjustRightInd/>
        <w:spacing w:afterLines="50" w:line="300" w:lineRule="auto"/>
        <w:ind w:firstLine="0" w:firstLineChars="0"/>
        <w:jc w:val="center"/>
        <w:textAlignment w:val="auto"/>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专业工程暂估价表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546"/>
        <w:gridCol w:w="1546"/>
        <w:gridCol w:w="1172"/>
        <w:gridCol w:w="1150"/>
        <w:gridCol w:w="1281"/>
        <w:gridCol w:w="13"/>
        <w:gridCol w:w="118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1546"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w:t>
            </w:r>
          </w:p>
        </w:tc>
        <w:tc>
          <w:tcPr>
            <w:tcW w:w="1546" w:type="dxa"/>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工程内容</w:t>
            </w:r>
          </w:p>
        </w:tc>
        <w:tc>
          <w:tcPr>
            <w:tcW w:w="3603" w:type="dxa"/>
            <w:gridSpan w:val="3"/>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暂估价金额</w:t>
            </w:r>
          </w:p>
        </w:tc>
        <w:tc>
          <w:tcPr>
            <w:tcW w:w="1202" w:type="dxa"/>
            <w:gridSpan w:val="2"/>
            <w:vMerge w:val="restart"/>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除税金额</w:t>
            </w: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（元）</w:t>
            </w: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税金</w:t>
            </w:r>
          </w:p>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（元）</w:t>
            </w: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含税金额（元）</w:t>
            </w:r>
          </w:p>
        </w:tc>
        <w:tc>
          <w:tcPr>
            <w:tcW w:w="1202" w:type="dxa"/>
            <w:gridSpan w:val="2"/>
            <w:vMerge w:val="continue"/>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840" w:hRule="atLeast"/>
        </w:trPr>
        <w:tc>
          <w:tcPr>
            <w:tcW w:w="51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4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72"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81"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2" w:type="dxa"/>
            <w:gridSpan w:val="2"/>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3603" w:type="dxa"/>
            <w:gridSpan w:val="3"/>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11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50"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94" w:type="dxa"/>
            <w:gridSpan w:val="2"/>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01" w:type="dxa"/>
            <w:gridSpan w:val="2"/>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tabs>
          <w:tab w:val="left" w:pos="720"/>
        </w:tabs>
        <w:adjustRightInd/>
        <w:spacing w:beforeLines="50" w:afterLines="50" w:line="300" w:lineRule="auto"/>
        <w:ind w:left="708" w:right="28" w:hanging="707" w:hangingChars="337"/>
        <w:jc w:val="both"/>
        <w:textAlignment w:val="auto"/>
        <w:rPr>
          <w:rFonts w:ascii="Arial" w:hAnsi="Arial" w:cs="Arial"/>
          <w:color w:val="auto"/>
          <w:kern w:val="2"/>
          <w:sz w:val="21"/>
          <w:szCs w:val="21"/>
          <w:highlight w:val="none"/>
        </w:rPr>
      </w:pPr>
      <w:r>
        <w:rPr>
          <w:rFonts w:hint="eastAsia" w:ascii="黑体" w:hAnsi="Arial" w:eastAsia="黑体" w:cs="Arial"/>
          <w:color w:val="auto"/>
          <w:kern w:val="2"/>
          <w:sz w:val="21"/>
          <w:szCs w:val="21"/>
          <w:highlight w:val="none"/>
        </w:rPr>
        <w:t>注：</w:t>
      </w:r>
      <w:r>
        <w:rPr>
          <w:rFonts w:ascii="Arial" w:hAnsi="Arial" w:cs="Arial"/>
          <w:color w:val="auto"/>
          <w:kern w:val="2"/>
          <w:sz w:val="21"/>
          <w:szCs w:val="21"/>
          <w:highlight w:val="none"/>
        </w:rPr>
        <w:t xml:space="preserve">1. </w:t>
      </w:r>
      <w:r>
        <w:rPr>
          <w:rFonts w:hint="eastAsia" w:ascii="Arial" w:hAnsi="Arial" w:cs="Arial"/>
          <w:color w:val="auto"/>
          <w:kern w:val="2"/>
          <w:sz w:val="21"/>
          <w:szCs w:val="21"/>
          <w:highlight w:val="none"/>
        </w:rPr>
        <w:t>此表由招标人填写，投标人在计取税金前应将上述专业工程“</w:t>
      </w:r>
      <w:r>
        <w:rPr>
          <w:rFonts w:hint="eastAsia" w:ascii="Arial" w:hAnsi="Arial" w:cs="Arial"/>
          <w:color w:val="auto"/>
          <w:kern w:val="2"/>
          <w:sz w:val="21"/>
          <w:szCs w:val="24"/>
          <w:highlight w:val="none"/>
        </w:rPr>
        <w:t>暂估价金额”的“除税金额”</w:t>
      </w:r>
      <w:r>
        <w:rPr>
          <w:rFonts w:hint="eastAsia" w:ascii="Arial" w:hAnsi="Arial" w:cs="Arial"/>
          <w:color w:val="auto"/>
          <w:kern w:val="2"/>
          <w:sz w:val="21"/>
          <w:szCs w:val="21"/>
          <w:highlight w:val="none"/>
        </w:rPr>
        <w:t>计入投标价格。</w:t>
      </w:r>
    </w:p>
    <w:p>
      <w:pPr>
        <w:tabs>
          <w:tab w:val="left" w:pos="720"/>
        </w:tabs>
        <w:adjustRightInd/>
        <w:spacing w:afterLines="50" w:line="300" w:lineRule="auto"/>
        <w:ind w:left="799" w:leftChars="200" w:right="26" w:hanging="319" w:hangingChars="152"/>
        <w:jc w:val="both"/>
        <w:textAlignment w:val="auto"/>
        <w:rPr>
          <w:rFonts w:ascii="Arial" w:hAnsi="Arial" w:cs="Arial"/>
          <w:color w:val="auto"/>
          <w:kern w:val="2"/>
          <w:sz w:val="21"/>
          <w:szCs w:val="24"/>
          <w:highlight w:val="none"/>
        </w:rPr>
      </w:pPr>
      <w:r>
        <w:rPr>
          <w:rFonts w:ascii="Arial" w:hAnsi="Arial" w:cs="Arial"/>
          <w:color w:val="auto"/>
          <w:kern w:val="2"/>
          <w:sz w:val="21"/>
          <w:szCs w:val="21"/>
          <w:highlight w:val="none"/>
        </w:rPr>
        <w:t xml:space="preserve">2. </w:t>
      </w:r>
      <w:r>
        <w:rPr>
          <w:rFonts w:hint="eastAsia" w:ascii="Arial" w:hAnsi="Arial" w:cs="Arial"/>
          <w:color w:val="auto"/>
          <w:kern w:val="2"/>
          <w:sz w:val="21"/>
          <w:szCs w:val="21"/>
          <w:highlight w:val="none"/>
        </w:rPr>
        <w:t>备注栏中应当对</w:t>
      </w:r>
      <w:r>
        <w:rPr>
          <w:rFonts w:hint="eastAsia" w:ascii="Arial" w:hAnsi="Arial" w:cs="Arial"/>
          <w:color w:val="auto"/>
          <w:kern w:val="2"/>
          <w:sz w:val="21"/>
          <w:szCs w:val="24"/>
          <w:highlight w:val="none"/>
        </w:rPr>
        <w:t>未达到招标规模标准的是否采用分包做出说明，采用分包方式的应当由发包人和承包人依法通过招标方式选择分包人。</w:t>
      </w:r>
    </w:p>
    <w:p>
      <w:pPr>
        <w:tabs>
          <w:tab w:val="left" w:pos="720"/>
        </w:tabs>
        <w:adjustRightInd/>
        <w:spacing w:afterLines="50" w:line="300" w:lineRule="auto"/>
        <w:ind w:right="26" w:firstLine="0" w:firstLineChars="0"/>
        <w:jc w:val="both"/>
        <w:textAlignment w:val="auto"/>
        <w:rPr>
          <w:rFonts w:ascii="Arial" w:hAnsi="Arial" w:cs="Arial"/>
          <w:color w:val="auto"/>
          <w:kern w:val="2"/>
          <w:sz w:val="21"/>
          <w:szCs w:val="21"/>
          <w:highlight w:val="none"/>
        </w:rPr>
      </w:pPr>
    </w:p>
    <w:p>
      <w:pPr>
        <w:keepNext/>
        <w:keepLines/>
        <w:adjustRightInd/>
        <w:spacing w:beforeLines="50" w:afterLines="50"/>
        <w:ind w:firstLine="0" w:firstLineChars="0"/>
        <w:jc w:val="both"/>
        <w:textAlignment w:val="auto"/>
        <w:outlineLvl w:val="2"/>
        <w:rPr>
          <w:rFonts w:ascii="宋体"/>
          <w:color w:val="auto"/>
          <w:highlight w:val="none"/>
        </w:rPr>
      </w:pPr>
      <w:r>
        <w:rPr>
          <w:rFonts w:ascii="宋体" w:cs="Arial"/>
          <w:b/>
          <w:color w:val="auto"/>
          <w:highlight w:val="none"/>
        </w:rPr>
        <w:br w:type="page"/>
      </w:r>
    </w:p>
    <w:p>
      <w:pPr>
        <w:keepNext/>
        <w:keepLines/>
        <w:adjustRightInd/>
        <w:spacing w:beforeLines="50" w:afterLines="50"/>
        <w:ind w:firstLine="0" w:firstLineChars="0"/>
        <w:jc w:val="both"/>
        <w:textAlignment w:val="auto"/>
        <w:outlineLvl w:val="2"/>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计日工表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878"/>
        <w:gridCol w:w="1134"/>
        <w:gridCol w:w="1276"/>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编号</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子目名称</w:t>
            </w: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单位</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暂定数量</w:t>
            </w: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综合单价（元）</w:t>
            </w: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一</w:t>
            </w:r>
          </w:p>
        </w:tc>
        <w:tc>
          <w:tcPr>
            <w:tcW w:w="187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劳务（人工）</w:t>
            </w: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21" w:type="dxa"/>
            <w:gridSpan w:val="5"/>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人工小计</w:t>
            </w: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二</w:t>
            </w:r>
          </w:p>
        </w:tc>
        <w:tc>
          <w:tcPr>
            <w:tcW w:w="187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材料</w:t>
            </w: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21" w:type="dxa"/>
            <w:gridSpan w:val="5"/>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材料小计</w:t>
            </w: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21" w:type="dxa"/>
            <w:gridSpan w:val="5"/>
            <w:vAlign w:val="center"/>
          </w:tcPr>
          <w:p>
            <w:pPr>
              <w:tabs>
                <w:tab w:val="left" w:pos="720"/>
              </w:tabs>
              <w:adjustRightInd/>
              <w:spacing w:line="300" w:lineRule="auto"/>
              <w:ind w:firstLine="420"/>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上述材料表中未列出的材料设备，投标人计取的包括企业管理费、利润（不包括规费和税金）在内的固定百分比：</w:t>
            </w: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三</w:t>
            </w:r>
          </w:p>
        </w:tc>
        <w:tc>
          <w:tcPr>
            <w:tcW w:w="187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施工机械</w:t>
            </w: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74"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3</w:t>
            </w:r>
          </w:p>
        </w:tc>
        <w:tc>
          <w:tcPr>
            <w:tcW w:w="187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134"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21" w:type="dxa"/>
            <w:gridSpan w:val="5"/>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施工机械小计</w:t>
            </w: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21" w:type="dxa"/>
            <w:gridSpan w:val="5"/>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总计</w:t>
            </w:r>
          </w:p>
        </w:tc>
        <w:tc>
          <w:tcPr>
            <w:tcW w:w="1559" w:type="dxa"/>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tabs>
          <w:tab w:val="left" w:pos="720"/>
        </w:tabs>
        <w:adjustRightInd/>
        <w:spacing w:beforeLines="50" w:afterLines="50" w:line="300" w:lineRule="auto"/>
        <w:ind w:left="708" w:right="28" w:hanging="707" w:hangingChars="337"/>
        <w:jc w:val="both"/>
        <w:textAlignment w:val="auto"/>
        <w:rPr>
          <w:rFonts w:ascii="Arial" w:hAnsi="Arial" w:cs="Arial"/>
          <w:color w:val="auto"/>
          <w:kern w:val="2"/>
          <w:sz w:val="21"/>
          <w:szCs w:val="21"/>
          <w:highlight w:val="none"/>
        </w:rPr>
      </w:pPr>
      <w:r>
        <w:rPr>
          <w:rFonts w:hint="eastAsia" w:ascii="Arial" w:hAnsi="Arial" w:cs="Arial"/>
          <w:color w:val="auto"/>
          <w:kern w:val="2"/>
          <w:sz w:val="21"/>
          <w:szCs w:val="21"/>
          <w:highlight w:val="none"/>
        </w:rPr>
        <w:t>注：</w:t>
      </w:r>
      <w:r>
        <w:rPr>
          <w:rFonts w:ascii="Arial" w:hAnsi="Arial" w:cs="Arial"/>
          <w:color w:val="auto"/>
          <w:kern w:val="2"/>
          <w:sz w:val="21"/>
          <w:szCs w:val="21"/>
          <w:highlight w:val="none"/>
        </w:rPr>
        <w:t xml:space="preserve">1. </w:t>
      </w:r>
      <w:r>
        <w:rPr>
          <w:rFonts w:hint="eastAsia" w:ascii="Arial" w:hAnsi="Arial" w:cs="Arial"/>
          <w:color w:val="auto"/>
          <w:kern w:val="2"/>
          <w:sz w:val="21"/>
          <w:szCs w:val="21"/>
          <w:highlight w:val="none"/>
        </w:rPr>
        <w:t>此表暂定项目、暂定数量由招标人填写，编制招标控制价时，单价由招标人按有关计价规定确定；</w:t>
      </w:r>
    </w:p>
    <w:p>
      <w:pPr>
        <w:tabs>
          <w:tab w:val="left" w:pos="720"/>
        </w:tabs>
        <w:adjustRightInd/>
        <w:spacing w:afterLines="50" w:line="300" w:lineRule="auto"/>
        <w:ind w:left="767" w:leftChars="200" w:right="26" w:hanging="287" w:hangingChars="137"/>
        <w:jc w:val="both"/>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 xml:space="preserve">2. </w:t>
      </w:r>
      <w:r>
        <w:rPr>
          <w:rFonts w:hint="eastAsia" w:ascii="Arial" w:hAnsi="Arial" w:cs="Arial"/>
          <w:color w:val="auto"/>
          <w:kern w:val="2"/>
          <w:sz w:val="21"/>
          <w:szCs w:val="21"/>
          <w:highlight w:val="none"/>
        </w:rPr>
        <w:t>投标时，子目和数量按招标人提供数据计算，单价由投标人自主报价，按暂定数量计算合价计入投标总价中。</w:t>
      </w:r>
    </w:p>
    <w:p>
      <w:pPr>
        <w:tabs>
          <w:tab w:val="left" w:pos="720"/>
        </w:tabs>
        <w:adjustRightInd/>
        <w:spacing w:afterLines="50" w:line="300" w:lineRule="auto"/>
        <w:ind w:left="767" w:leftChars="200" w:right="26" w:hanging="287" w:hangingChars="137"/>
        <w:jc w:val="both"/>
        <w:textAlignment w:val="auto"/>
        <w:rPr>
          <w:rFonts w:ascii="Arial" w:hAnsi="Arial" w:cs="Arial"/>
          <w:color w:val="auto"/>
          <w:kern w:val="2"/>
          <w:sz w:val="21"/>
          <w:szCs w:val="21"/>
          <w:highlight w:val="none"/>
        </w:rPr>
      </w:pPr>
      <w:r>
        <w:rPr>
          <w:rFonts w:ascii="Arial" w:hAnsi="Arial" w:cs="Arial"/>
          <w:color w:val="auto"/>
          <w:kern w:val="2"/>
          <w:sz w:val="21"/>
          <w:szCs w:val="21"/>
          <w:highlight w:val="none"/>
        </w:rPr>
        <w:t xml:space="preserve">3. </w:t>
      </w:r>
      <w:r>
        <w:rPr>
          <w:rFonts w:hint="eastAsia" w:ascii="Arial" w:hAnsi="Arial" w:cs="Arial"/>
          <w:color w:val="auto"/>
          <w:kern w:val="2"/>
          <w:sz w:val="21"/>
          <w:szCs w:val="21"/>
          <w:highlight w:val="none"/>
        </w:rPr>
        <w:t>此表总计的计日工金额应当作为暂列金额的一部分，计入表</w:t>
      </w:r>
      <w:r>
        <w:rPr>
          <w:rFonts w:ascii="Arial" w:hAnsi="Arial" w:cs="Arial"/>
          <w:color w:val="auto"/>
          <w:kern w:val="2"/>
          <w:sz w:val="21"/>
          <w:szCs w:val="21"/>
          <w:highlight w:val="none"/>
        </w:rPr>
        <w:t>4.10</w:t>
      </w:r>
      <w:r>
        <w:rPr>
          <w:rFonts w:hint="eastAsia" w:ascii="Arial" w:hAnsi="Arial" w:cs="Arial"/>
          <w:color w:val="auto"/>
          <w:kern w:val="2"/>
          <w:sz w:val="21"/>
          <w:szCs w:val="21"/>
          <w:highlight w:val="none"/>
        </w:rPr>
        <w:t>中。</w:t>
      </w:r>
    </w:p>
    <w:p>
      <w:pPr>
        <w:tabs>
          <w:tab w:val="left" w:pos="720"/>
        </w:tabs>
        <w:adjustRightInd/>
        <w:spacing w:afterLines="50" w:line="300" w:lineRule="auto"/>
        <w:ind w:left="767" w:leftChars="200" w:right="26" w:hanging="287" w:hangingChars="137"/>
        <w:jc w:val="both"/>
        <w:textAlignment w:val="auto"/>
        <w:rPr>
          <w:rFonts w:ascii="Arial" w:hAnsi="Arial" w:cs="Arial"/>
          <w:color w:val="auto"/>
          <w:kern w:val="2"/>
          <w:sz w:val="21"/>
          <w:szCs w:val="21"/>
          <w:highlight w:val="none"/>
        </w:rPr>
      </w:pPr>
    </w:p>
    <w:p>
      <w:pPr>
        <w:tabs>
          <w:tab w:val="left" w:pos="720"/>
        </w:tabs>
        <w:adjustRightInd/>
        <w:spacing w:line="300" w:lineRule="auto"/>
        <w:ind w:firstLine="420"/>
        <w:jc w:val="both"/>
        <w:textAlignment w:val="auto"/>
        <w:rPr>
          <w:rFonts w:ascii="Arial" w:hAnsi="Arial" w:cs="Arial"/>
          <w:color w:val="auto"/>
          <w:kern w:val="2"/>
          <w:sz w:val="21"/>
          <w:szCs w:val="21"/>
          <w:highlight w:val="none"/>
        </w:rPr>
      </w:pPr>
    </w:p>
    <w:p>
      <w:pPr>
        <w:keepNext/>
        <w:keepLines/>
        <w:adjustRightInd/>
        <w:spacing w:beforeLines="50" w:afterLines="50"/>
        <w:ind w:firstLine="0" w:firstLineChars="0"/>
        <w:jc w:val="both"/>
        <w:textAlignment w:val="auto"/>
        <w:outlineLvl w:val="2"/>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总承包服务费计价表</w:t>
      </w: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425" w:type="dxa"/>
        <w:tblInd w:w="103" w:type="dxa"/>
        <w:tblLayout w:type="fixed"/>
        <w:tblCellMar>
          <w:top w:w="0" w:type="dxa"/>
          <w:left w:w="108" w:type="dxa"/>
          <w:bottom w:w="0" w:type="dxa"/>
          <w:right w:w="108" w:type="dxa"/>
        </w:tblCellMar>
      </w:tblPr>
      <w:tblGrid>
        <w:gridCol w:w="666"/>
        <w:gridCol w:w="1842"/>
        <w:gridCol w:w="1509"/>
        <w:gridCol w:w="1272"/>
        <w:gridCol w:w="1095"/>
        <w:gridCol w:w="858"/>
        <w:gridCol w:w="1183"/>
      </w:tblGrid>
      <w:tr>
        <w:tblPrEx>
          <w:tblLayout w:type="fixed"/>
          <w:tblCellMar>
            <w:top w:w="0" w:type="dxa"/>
            <w:left w:w="108" w:type="dxa"/>
            <w:bottom w:w="0" w:type="dxa"/>
            <w:right w:w="108" w:type="dxa"/>
          </w:tblCellMar>
        </w:tblPrEx>
        <w:trPr>
          <w:trHeight w:val="900" w:hRule="atLeast"/>
        </w:trPr>
        <w:tc>
          <w:tcPr>
            <w:tcW w:w="666"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序号</w:t>
            </w:r>
          </w:p>
        </w:tc>
        <w:tc>
          <w:tcPr>
            <w:tcW w:w="1842"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项目名称</w:t>
            </w:r>
          </w:p>
        </w:tc>
        <w:tc>
          <w:tcPr>
            <w:tcW w:w="1509"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项目价值（元）</w:t>
            </w:r>
          </w:p>
        </w:tc>
        <w:tc>
          <w:tcPr>
            <w:tcW w:w="1272"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服务内容</w:t>
            </w:r>
          </w:p>
        </w:tc>
        <w:tc>
          <w:tcPr>
            <w:tcW w:w="1095"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计算基础</w:t>
            </w:r>
          </w:p>
        </w:tc>
        <w:tc>
          <w:tcPr>
            <w:tcW w:w="858"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费率（</w:t>
            </w:r>
            <w:r>
              <w:rPr>
                <w:rFonts w:ascii="Arial" w:hAnsi="Arial" w:cs="Arial"/>
                <w:color w:val="auto"/>
                <w:sz w:val="21"/>
                <w:szCs w:val="21"/>
                <w:highlight w:val="none"/>
              </w:rPr>
              <w:t>%</w:t>
            </w:r>
            <w:r>
              <w:rPr>
                <w:rFonts w:hint="eastAsia" w:ascii="宋体" w:hAnsi="宋体" w:cs="宋体"/>
                <w:color w:val="auto"/>
                <w:sz w:val="21"/>
                <w:szCs w:val="21"/>
                <w:highlight w:val="none"/>
              </w:rPr>
              <w:t>）</w:t>
            </w:r>
          </w:p>
        </w:tc>
        <w:tc>
          <w:tcPr>
            <w:tcW w:w="1183"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金额（元）</w:t>
            </w: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r>
              <w:rPr>
                <w:rFonts w:ascii="Arial" w:hAnsi="Arial" w:cs="Arial"/>
                <w:color w:val="auto"/>
                <w:sz w:val="21"/>
                <w:szCs w:val="21"/>
                <w:highlight w:val="none"/>
              </w:rPr>
              <w:t>1</w:t>
            </w: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szCs w:val="21"/>
                <w:highlight w:val="none"/>
              </w:rPr>
            </w:pPr>
            <w:r>
              <w:rPr>
                <w:rFonts w:hint="eastAsia" w:ascii="宋体" w:hAnsi="宋体" w:cs="宋体"/>
                <w:color w:val="auto"/>
                <w:sz w:val="21"/>
                <w:szCs w:val="21"/>
                <w:highlight w:val="none"/>
              </w:rPr>
              <w:t>发包人发包专业工程</w:t>
            </w: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r>
              <w:rPr>
                <w:rFonts w:ascii="Arial" w:hAnsi="Arial" w:cs="Arial"/>
                <w:color w:val="auto"/>
                <w:sz w:val="21"/>
                <w:szCs w:val="21"/>
                <w:highlight w:val="none"/>
              </w:rPr>
              <w:t>2</w:t>
            </w: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szCs w:val="21"/>
                <w:highlight w:val="none"/>
              </w:rPr>
            </w:pPr>
            <w:r>
              <w:rPr>
                <w:rFonts w:hint="eastAsia" w:ascii="宋体" w:hAnsi="宋体" w:cs="宋体"/>
                <w:color w:val="auto"/>
                <w:sz w:val="21"/>
                <w:szCs w:val="21"/>
                <w:highlight w:val="none"/>
              </w:rPr>
              <w:t>发包人供应材料和设备</w:t>
            </w: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666"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84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50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right"/>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r>
        <w:tblPrEx>
          <w:tblLayout w:type="fixed"/>
          <w:tblCellMar>
            <w:top w:w="0" w:type="dxa"/>
            <w:left w:w="108" w:type="dxa"/>
            <w:bottom w:w="0" w:type="dxa"/>
            <w:right w:w="108" w:type="dxa"/>
          </w:tblCellMar>
        </w:tblPrEx>
        <w:trPr>
          <w:trHeight w:val="900" w:hRule="atLeast"/>
        </w:trPr>
        <w:tc>
          <w:tcPr>
            <w:tcW w:w="4017" w:type="dxa"/>
            <w:gridSpan w:val="3"/>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1"/>
                <w:highlight w:val="none"/>
              </w:rPr>
            </w:pPr>
            <w:r>
              <w:rPr>
                <w:rFonts w:hint="eastAsia" w:ascii="宋体" w:hAnsi="宋体" w:cs="宋体"/>
                <w:color w:val="auto"/>
                <w:sz w:val="21"/>
                <w:szCs w:val="21"/>
                <w:highlight w:val="none"/>
              </w:rPr>
              <w:t>合计</w:t>
            </w:r>
          </w:p>
        </w:tc>
        <w:tc>
          <w:tcPr>
            <w:tcW w:w="1272"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095" w:type="dxa"/>
            <w:tcBorders>
              <w:top w:val="single" w:color="auto" w:sz="4" w:space="0"/>
              <w:left w:val="nil"/>
              <w:bottom w:val="single" w:color="auto" w:sz="4" w:space="0"/>
              <w:right w:val="single" w:color="auto" w:sz="4" w:space="0"/>
            </w:tcBorders>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858" w:type="dxa"/>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c>
          <w:tcPr>
            <w:tcW w:w="1183"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Arial" w:hAnsi="Arial" w:cs="Arial"/>
                <w:color w:val="auto"/>
                <w:sz w:val="21"/>
                <w:szCs w:val="21"/>
                <w:highlight w:val="none"/>
              </w:rPr>
            </w:pPr>
          </w:p>
        </w:tc>
      </w:tr>
    </w:tbl>
    <w:p>
      <w:pPr>
        <w:tabs>
          <w:tab w:val="left" w:pos="720"/>
        </w:tabs>
        <w:adjustRightInd/>
        <w:spacing w:beforeLines="50" w:afterLines="50" w:line="300" w:lineRule="auto"/>
        <w:ind w:left="424" w:hanging="424" w:hangingChars="202"/>
        <w:jc w:val="both"/>
        <w:textAlignment w:val="auto"/>
        <w:rPr>
          <w:rFonts w:ascii="Arial" w:hAnsi="宋体" w:cs="Arial"/>
          <w:color w:val="auto"/>
          <w:kern w:val="2"/>
          <w:sz w:val="21"/>
          <w:szCs w:val="24"/>
          <w:highlight w:val="none"/>
        </w:rPr>
      </w:pPr>
      <w:r>
        <w:rPr>
          <w:rFonts w:hint="eastAsia" w:ascii="黑体" w:hAnsi="Arial" w:eastAsia="黑体" w:cs="Arial"/>
          <w:color w:val="auto"/>
          <w:kern w:val="2"/>
          <w:sz w:val="21"/>
          <w:szCs w:val="21"/>
          <w:highlight w:val="none"/>
        </w:rPr>
        <w:t>注：</w:t>
      </w:r>
      <w:r>
        <w:rPr>
          <w:rFonts w:hint="eastAsia" w:ascii="Arial" w:hAnsi="Arial" w:cs="Arial"/>
          <w:color w:val="auto"/>
          <w:kern w:val="2"/>
          <w:sz w:val="21"/>
          <w:szCs w:val="21"/>
          <w:highlight w:val="none"/>
        </w:rPr>
        <w:t>此表项目名称、服务内容由</w:t>
      </w:r>
      <w:r>
        <w:rPr>
          <w:rFonts w:hint="eastAsia" w:ascii="Arial" w:hAnsi="Arial" w:cs="Arial"/>
          <w:color w:val="auto"/>
          <w:kern w:val="2"/>
          <w:sz w:val="21"/>
          <w:szCs w:val="21"/>
          <w:highlight w:val="none"/>
        </w:rPr>
        <w:t>采购</w:t>
      </w:r>
      <w:r>
        <w:rPr>
          <w:rFonts w:hint="eastAsia" w:ascii="Arial" w:hAnsi="Arial" w:cs="Arial"/>
          <w:color w:val="auto"/>
          <w:kern w:val="2"/>
          <w:sz w:val="21"/>
          <w:szCs w:val="21"/>
          <w:highlight w:val="none"/>
        </w:rPr>
        <w:t>人填写，编写招标控制价时，费率及金额由招标人按有关计价规定确定；投标时，费率及金额由投标人自主报价，计入投标总价中。</w:t>
      </w:r>
    </w:p>
    <w:p>
      <w:pPr>
        <w:keepNext/>
        <w:keepLines/>
        <w:adjustRightInd/>
        <w:spacing w:beforeLines="50" w:afterLines="50"/>
        <w:ind w:firstLine="0" w:firstLineChars="0"/>
        <w:jc w:val="both"/>
        <w:textAlignment w:val="auto"/>
        <w:outlineLvl w:val="2"/>
        <w:rPr>
          <w:rFonts w:ascii="宋体"/>
          <w:color w:val="auto"/>
          <w:highlight w:val="none"/>
        </w:rPr>
      </w:pPr>
      <w:bookmarkStart w:id="1031" w:name="_Toc480481691"/>
      <w:bookmarkStart w:id="1032" w:name="_Toc342296538"/>
      <w:bookmarkStart w:id="1033" w:name="_Toc241459779"/>
      <w:r>
        <w:rPr>
          <w:rFonts w:ascii="宋体"/>
          <w:color w:val="auto"/>
          <w:highlight w:val="none"/>
        </w:rPr>
        <w:br w:type="page"/>
      </w:r>
      <w:bookmarkEnd w:id="1031"/>
      <w:bookmarkEnd w:id="1032"/>
      <w:bookmarkEnd w:id="1033"/>
    </w:p>
    <w:p>
      <w:pPr>
        <w:keepNext/>
        <w:keepLines/>
        <w:adjustRightInd/>
        <w:spacing w:beforeLines="50" w:afterLines="50"/>
        <w:ind w:firstLine="0" w:firstLineChars="0"/>
        <w:jc w:val="both"/>
        <w:textAlignment w:val="auto"/>
        <w:outlineLvl w:val="2"/>
        <w:rPr>
          <w:rFonts w:ascii="宋体"/>
          <w:color w:val="auto"/>
          <w:highlight w:val="none"/>
        </w:rPr>
      </w:pPr>
    </w:p>
    <w:p>
      <w:pPr>
        <w:tabs>
          <w:tab w:val="left" w:pos="720"/>
        </w:tabs>
        <w:adjustRightInd/>
        <w:spacing w:afterLines="50" w:line="300" w:lineRule="auto"/>
        <w:ind w:firstLine="0" w:firstLineChars="0"/>
        <w:jc w:val="center"/>
        <w:textAlignment w:val="auto"/>
        <w:rPr>
          <w:rFonts w:ascii="Arial" w:hAnsi="Arial" w:eastAsia="黑体" w:cs="Arial"/>
          <w:bCs/>
          <w:color w:val="auto"/>
          <w:kern w:val="2"/>
          <w:sz w:val="30"/>
          <w:szCs w:val="30"/>
          <w:highlight w:val="none"/>
        </w:rPr>
      </w:pPr>
      <w:r>
        <w:rPr>
          <w:rFonts w:hint="eastAsia" w:ascii="Arial" w:hAnsi="Arial" w:eastAsia="黑体" w:cs="Arial"/>
          <w:bCs/>
          <w:color w:val="auto"/>
          <w:kern w:val="2"/>
          <w:sz w:val="30"/>
          <w:szCs w:val="30"/>
          <w:highlight w:val="none"/>
        </w:rPr>
        <w:t>规费、税金项目计价表</w:t>
      </w:r>
    </w:p>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p>
      <w:pPr>
        <w:tabs>
          <w:tab w:val="left" w:pos="720"/>
        </w:tabs>
        <w:adjustRightInd/>
        <w:spacing w:afterLines="50"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工程名称：第页共页</w:t>
      </w:r>
    </w:p>
    <w:tbl>
      <w:tblPr>
        <w:tblStyle w:val="4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938"/>
        <w:gridCol w:w="1672"/>
        <w:gridCol w:w="1417"/>
        <w:gridCol w:w="1276"/>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序号</w:t>
            </w:r>
          </w:p>
        </w:tc>
        <w:tc>
          <w:tcPr>
            <w:tcW w:w="1938"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项目名称</w:t>
            </w: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计算基础</w:t>
            </w: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计算基数</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费率（</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w:t>
            </w: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w:t>
            </w: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规费</w:t>
            </w: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1.1</w:t>
            </w: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农民工工伤保险</w:t>
            </w: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w:t>
            </w: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785"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ascii="Arial" w:hAnsi="Arial" w:cs="Arial"/>
                <w:color w:val="auto"/>
                <w:kern w:val="2"/>
                <w:sz w:val="21"/>
                <w:szCs w:val="24"/>
                <w:highlight w:val="none"/>
              </w:rPr>
              <w:t>2</w:t>
            </w:r>
          </w:p>
        </w:tc>
        <w:tc>
          <w:tcPr>
            <w:tcW w:w="1938" w:type="dxa"/>
            <w:vAlign w:val="center"/>
          </w:tcPr>
          <w:p>
            <w:pPr>
              <w:tabs>
                <w:tab w:val="left" w:pos="720"/>
              </w:tabs>
              <w:adjustRightInd/>
              <w:spacing w:line="300" w:lineRule="auto"/>
              <w:ind w:firstLine="0" w:firstLineChars="0"/>
              <w:jc w:val="both"/>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税金</w:t>
            </w:r>
          </w:p>
        </w:tc>
        <w:tc>
          <w:tcPr>
            <w:tcW w:w="167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分部分项工程费</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措施项目费</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其他项目费</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规费</w:t>
            </w:r>
            <w:r>
              <w:rPr>
                <w:rFonts w:ascii="Arial" w:hAnsi="Arial" w:cs="Arial"/>
                <w:color w:val="auto"/>
                <w:kern w:val="2"/>
                <w:sz w:val="21"/>
                <w:szCs w:val="24"/>
                <w:highlight w:val="none"/>
              </w:rPr>
              <w:t>-</w:t>
            </w:r>
            <w:r>
              <w:rPr>
                <w:rFonts w:hint="eastAsia" w:ascii="Arial" w:hAnsi="Arial" w:cs="Arial"/>
                <w:color w:val="auto"/>
                <w:kern w:val="2"/>
                <w:sz w:val="21"/>
                <w:szCs w:val="24"/>
                <w:highlight w:val="none"/>
              </w:rPr>
              <w:t>按规定不计税的工程设备金额</w:t>
            </w:r>
          </w:p>
        </w:tc>
        <w:tc>
          <w:tcPr>
            <w:tcW w:w="1417"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5812" w:type="dxa"/>
            <w:gridSpan w:val="4"/>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r>
              <w:rPr>
                <w:rFonts w:hint="eastAsia" w:ascii="Arial" w:hAnsi="Arial" w:cs="Arial"/>
                <w:color w:val="auto"/>
                <w:kern w:val="2"/>
                <w:sz w:val="21"/>
                <w:szCs w:val="24"/>
                <w:highlight w:val="none"/>
              </w:rPr>
              <w:t>合计</w:t>
            </w:r>
          </w:p>
        </w:tc>
        <w:tc>
          <w:tcPr>
            <w:tcW w:w="1276"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c>
          <w:tcPr>
            <w:tcW w:w="1332" w:type="dxa"/>
            <w:vAlign w:val="center"/>
          </w:tcPr>
          <w:p>
            <w:pPr>
              <w:tabs>
                <w:tab w:val="left" w:pos="720"/>
              </w:tabs>
              <w:adjustRightInd/>
              <w:spacing w:line="300" w:lineRule="auto"/>
              <w:ind w:firstLine="0" w:firstLineChars="0"/>
              <w:jc w:val="center"/>
              <w:textAlignment w:val="auto"/>
              <w:rPr>
                <w:rFonts w:ascii="Arial" w:hAnsi="Arial" w:cs="Arial"/>
                <w:color w:val="auto"/>
                <w:kern w:val="2"/>
                <w:sz w:val="21"/>
                <w:szCs w:val="24"/>
                <w:highlight w:val="none"/>
              </w:rPr>
            </w:pPr>
          </w:p>
        </w:tc>
      </w:tr>
    </w:tbl>
    <w:p>
      <w:pPr>
        <w:adjustRightInd/>
        <w:spacing w:afterLines="50" w:line="300" w:lineRule="auto"/>
        <w:ind w:firstLine="0" w:firstLineChars="0"/>
        <w:jc w:val="both"/>
        <w:textAlignment w:val="auto"/>
        <w:outlineLvl w:val="2"/>
        <w:rPr>
          <w:rFonts w:ascii="黑体" w:hAnsi="宋体" w:eastAsia="黑体" w:cs="Arial"/>
          <w:color w:val="auto"/>
          <w:kern w:val="2"/>
          <w:szCs w:val="24"/>
          <w:highlight w:val="none"/>
        </w:rPr>
        <w:sectPr>
          <w:pgSz w:w="11906" w:h="16838"/>
          <w:pgMar w:top="1440" w:right="1797" w:bottom="1440" w:left="1797" w:header="851" w:footer="992" w:gutter="0"/>
          <w:cols w:space="425" w:num="1"/>
          <w:docGrid w:linePitch="312" w:charSpace="0"/>
        </w:sectPr>
      </w:pPr>
    </w:p>
    <w:p>
      <w:pPr>
        <w:keepNext/>
        <w:keepLines/>
        <w:adjustRightInd/>
        <w:spacing w:beforeLines="50" w:afterLines="50"/>
        <w:ind w:firstLine="0" w:firstLineChars="0"/>
        <w:jc w:val="both"/>
        <w:textAlignment w:val="auto"/>
        <w:outlineLvl w:val="2"/>
        <w:rPr>
          <w:rFonts w:ascii="宋体"/>
          <w:color w:val="auto"/>
          <w:highlight w:val="none"/>
        </w:rPr>
      </w:pPr>
      <w:bookmarkStart w:id="1034" w:name="_Toc241459781"/>
      <w:bookmarkStart w:id="1035" w:name="_Toc342296540"/>
    </w:p>
    <w:tbl>
      <w:tblPr>
        <w:tblStyle w:val="47"/>
        <w:tblW w:w="13987" w:type="dxa"/>
        <w:tblInd w:w="108" w:type="dxa"/>
        <w:tblLayout w:type="fixed"/>
        <w:tblCellMar>
          <w:top w:w="0" w:type="dxa"/>
          <w:left w:w="108" w:type="dxa"/>
          <w:bottom w:w="0" w:type="dxa"/>
          <w:right w:w="108" w:type="dxa"/>
        </w:tblCellMar>
      </w:tblPr>
      <w:tblGrid>
        <w:gridCol w:w="1440"/>
        <w:gridCol w:w="1800"/>
        <w:gridCol w:w="3223"/>
        <w:gridCol w:w="2537"/>
        <w:gridCol w:w="1169"/>
        <w:gridCol w:w="1381"/>
        <w:gridCol w:w="957"/>
        <w:gridCol w:w="1480"/>
      </w:tblGrid>
      <w:tr>
        <w:tblPrEx>
          <w:tblLayout w:type="fixed"/>
          <w:tblCellMar>
            <w:top w:w="0" w:type="dxa"/>
            <w:left w:w="108" w:type="dxa"/>
            <w:bottom w:w="0" w:type="dxa"/>
            <w:right w:w="108" w:type="dxa"/>
          </w:tblCellMar>
        </w:tblPrEx>
        <w:trPr>
          <w:trHeight w:val="616" w:hRule="atLeast"/>
        </w:trPr>
        <w:tc>
          <w:tcPr>
            <w:tcW w:w="13987" w:type="dxa"/>
            <w:gridSpan w:val="8"/>
            <w:tcBorders>
              <w:top w:val="nil"/>
              <w:left w:val="nil"/>
              <w:bottom w:val="nil"/>
              <w:right w:val="nil"/>
            </w:tcBorders>
            <w:noWrap/>
          </w:tcPr>
          <w:p>
            <w:pPr>
              <w:widowControl/>
              <w:adjustRightInd/>
              <w:spacing w:line="240" w:lineRule="auto"/>
              <w:ind w:firstLine="0" w:firstLineChars="0"/>
              <w:jc w:val="center"/>
              <w:textAlignment w:val="auto"/>
              <w:rPr>
                <w:rFonts w:ascii="黑体" w:hAnsi="宋体" w:eastAsia="黑体" w:cs="宋体"/>
                <w:color w:val="auto"/>
                <w:sz w:val="30"/>
                <w:szCs w:val="30"/>
                <w:highlight w:val="none"/>
              </w:rPr>
            </w:pPr>
            <w:bookmarkStart w:id="1036" w:name="RANGE!A1:H11"/>
            <w:bookmarkEnd w:id="1036"/>
            <w:r>
              <w:rPr>
                <w:rFonts w:hint="eastAsia" w:ascii="黑体" w:hAnsi="宋体" w:eastAsia="黑体" w:cs="宋体"/>
                <w:color w:val="auto"/>
                <w:sz w:val="30"/>
                <w:szCs w:val="30"/>
                <w:highlight w:val="none"/>
              </w:rPr>
              <w:t>措施项目报价组成分析表</w:t>
            </w:r>
          </w:p>
        </w:tc>
      </w:tr>
      <w:tr>
        <w:tblPrEx>
          <w:tblLayout w:type="fixed"/>
          <w:tblCellMar>
            <w:top w:w="0" w:type="dxa"/>
            <w:left w:w="108" w:type="dxa"/>
            <w:bottom w:w="0" w:type="dxa"/>
            <w:right w:w="108" w:type="dxa"/>
          </w:tblCellMar>
        </w:tblPrEx>
        <w:trPr>
          <w:trHeight w:val="442" w:hRule="atLeast"/>
        </w:trPr>
        <w:tc>
          <w:tcPr>
            <w:tcW w:w="1440" w:type="dxa"/>
            <w:tcBorders>
              <w:top w:val="nil"/>
              <w:left w:val="nil"/>
              <w:bottom w:val="nil"/>
              <w:right w:val="nil"/>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工程名称：</w:t>
            </w:r>
          </w:p>
        </w:tc>
        <w:tc>
          <w:tcPr>
            <w:tcW w:w="12547" w:type="dxa"/>
            <w:gridSpan w:val="7"/>
            <w:tcBorders>
              <w:top w:val="nil"/>
              <w:left w:val="nil"/>
              <w:bottom w:val="nil"/>
              <w:right w:val="nil"/>
            </w:tcBorders>
            <w:noWrap/>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cantSplit/>
          <w:trHeight w:val="402" w:hRule="atLeast"/>
        </w:trPr>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子目编码</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措施项目名称</w:t>
            </w:r>
          </w:p>
        </w:tc>
        <w:tc>
          <w:tcPr>
            <w:tcW w:w="322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拟采取主要方案或投入资源描述</w:t>
            </w:r>
          </w:p>
        </w:tc>
        <w:tc>
          <w:tcPr>
            <w:tcW w:w="253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实际成本详细计算过程</w:t>
            </w:r>
          </w:p>
        </w:tc>
        <w:tc>
          <w:tcPr>
            <w:tcW w:w="3507" w:type="dxa"/>
            <w:gridSpan w:val="3"/>
            <w:tcBorders>
              <w:top w:val="single" w:color="auto" w:sz="4" w:space="0"/>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报价构成分析</w:t>
            </w:r>
          </w:p>
        </w:tc>
        <w:tc>
          <w:tcPr>
            <w:tcW w:w="1480"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报价金额</w:t>
            </w:r>
          </w:p>
        </w:tc>
      </w:tr>
      <w:tr>
        <w:tblPrEx>
          <w:tblLayout w:type="fixed"/>
          <w:tblCellMar>
            <w:top w:w="0" w:type="dxa"/>
            <w:left w:w="108" w:type="dxa"/>
            <w:bottom w:w="0" w:type="dxa"/>
            <w:right w:w="108" w:type="dxa"/>
          </w:tblCellMar>
        </w:tblPrEx>
        <w:trPr>
          <w:cantSplit/>
          <w:trHeight w:val="402"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highlight w:val="none"/>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实际成本</w:t>
            </w:r>
          </w:p>
        </w:tc>
        <w:tc>
          <w:tcPr>
            <w:tcW w:w="1381"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企业管理费</w:t>
            </w:r>
          </w:p>
        </w:tc>
        <w:tc>
          <w:tcPr>
            <w:tcW w:w="957" w:type="dxa"/>
            <w:tcBorders>
              <w:top w:val="nil"/>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利润</w:t>
            </w:r>
          </w:p>
        </w:tc>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trHeight w:val="1002" w:hRule="atLeast"/>
        </w:trPr>
        <w:tc>
          <w:tcPr>
            <w:tcW w:w="144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p>
        </w:tc>
        <w:tc>
          <w:tcPr>
            <w:tcW w:w="180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381"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95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48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trHeight w:val="1002" w:hRule="atLeast"/>
        </w:trPr>
        <w:tc>
          <w:tcPr>
            <w:tcW w:w="144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p>
        </w:tc>
        <w:tc>
          <w:tcPr>
            <w:tcW w:w="180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381"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95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48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trHeight w:val="1002" w:hRule="atLeast"/>
        </w:trPr>
        <w:tc>
          <w:tcPr>
            <w:tcW w:w="144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p>
        </w:tc>
        <w:tc>
          <w:tcPr>
            <w:tcW w:w="180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381"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95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48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trHeight w:val="1002" w:hRule="atLeast"/>
        </w:trPr>
        <w:tc>
          <w:tcPr>
            <w:tcW w:w="144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p>
        </w:tc>
        <w:tc>
          <w:tcPr>
            <w:tcW w:w="180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381"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95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48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r>
      <w:tr>
        <w:tblPrEx>
          <w:tblLayout w:type="fixed"/>
          <w:tblCellMar>
            <w:top w:w="0" w:type="dxa"/>
            <w:left w:w="108" w:type="dxa"/>
            <w:bottom w:w="0" w:type="dxa"/>
            <w:right w:w="108" w:type="dxa"/>
          </w:tblCellMar>
        </w:tblPrEx>
        <w:trPr>
          <w:trHeight w:val="1002" w:hRule="atLeast"/>
        </w:trPr>
        <w:tc>
          <w:tcPr>
            <w:tcW w:w="1440"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p>
        </w:tc>
        <w:tc>
          <w:tcPr>
            <w:tcW w:w="180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3223"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2537"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169"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381"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957"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c>
          <w:tcPr>
            <w:tcW w:w="148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p>
        </w:tc>
      </w:tr>
    </w:tbl>
    <w:p>
      <w:pPr>
        <w:adjustRightInd/>
        <w:spacing w:afterLines="50" w:line="300" w:lineRule="auto"/>
        <w:ind w:firstLine="0" w:firstLineChars="0"/>
        <w:jc w:val="both"/>
        <w:textAlignment w:val="auto"/>
        <w:outlineLvl w:val="2"/>
        <w:rPr>
          <w:rFonts w:ascii="黑体" w:hAnsi="宋体" w:eastAsia="黑体" w:cs="Arial"/>
          <w:color w:val="auto"/>
          <w:kern w:val="2"/>
          <w:szCs w:val="24"/>
          <w:highlight w:val="none"/>
        </w:rPr>
        <w:sectPr>
          <w:pgSz w:w="16838" w:h="11906" w:orient="landscape"/>
          <w:pgMar w:top="1797" w:right="1440" w:bottom="1797" w:left="1440" w:header="851" w:footer="992" w:gutter="0"/>
          <w:cols w:space="425" w:num="1"/>
          <w:docGrid w:linePitch="312" w:charSpace="0"/>
        </w:sectPr>
      </w:pPr>
    </w:p>
    <w:bookmarkEnd w:id="1034"/>
    <w:bookmarkEnd w:id="1035"/>
    <w:tbl>
      <w:tblPr>
        <w:tblStyle w:val="47"/>
        <w:tblW w:w="8280" w:type="dxa"/>
        <w:tblInd w:w="108" w:type="dxa"/>
        <w:tblLayout w:type="fixed"/>
        <w:tblCellMar>
          <w:top w:w="0" w:type="dxa"/>
          <w:left w:w="108" w:type="dxa"/>
          <w:bottom w:w="0" w:type="dxa"/>
          <w:right w:w="108" w:type="dxa"/>
        </w:tblCellMar>
      </w:tblPr>
      <w:tblGrid>
        <w:gridCol w:w="1260"/>
        <w:gridCol w:w="2520"/>
        <w:gridCol w:w="2340"/>
        <w:gridCol w:w="2160"/>
      </w:tblGrid>
      <w:tr>
        <w:tblPrEx>
          <w:tblLayout w:type="fixed"/>
          <w:tblCellMar>
            <w:top w:w="0" w:type="dxa"/>
            <w:left w:w="108" w:type="dxa"/>
            <w:bottom w:w="0" w:type="dxa"/>
            <w:right w:w="108" w:type="dxa"/>
          </w:tblCellMar>
        </w:tblPrEx>
        <w:trPr>
          <w:trHeight w:val="799" w:hRule="atLeast"/>
        </w:trPr>
        <w:tc>
          <w:tcPr>
            <w:tcW w:w="8280" w:type="dxa"/>
            <w:gridSpan w:val="4"/>
            <w:tcBorders>
              <w:top w:val="nil"/>
              <w:left w:val="nil"/>
              <w:bottom w:val="nil"/>
              <w:right w:val="nil"/>
            </w:tcBorders>
            <w:noWrap/>
          </w:tcPr>
          <w:p>
            <w:pPr>
              <w:widowControl/>
              <w:adjustRightInd/>
              <w:spacing w:line="240" w:lineRule="auto"/>
              <w:ind w:firstLine="0" w:firstLineChars="0"/>
              <w:jc w:val="center"/>
              <w:textAlignment w:val="auto"/>
              <w:rPr>
                <w:rFonts w:ascii="黑体" w:hAnsi="宋体" w:eastAsia="黑体" w:cs="宋体"/>
                <w:color w:val="auto"/>
                <w:sz w:val="30"/>
                <w:szCs w:val="30"/>
                <w:highlight w:val="none"/>
              </w:rPr>
            </w:pPr>
            <w:bookmarkStart w:id="1037" w:name="RANGE!A1:D23"/>
            <w:bookmarkEnd w:id="1037"/>
          </w:p>
          <w:p>
            <w:pPr>
              <w:widowControl/>
              <w:adjustRightInd/>
              <w:spacing w:line="240" w:lineRule="auto"/>
              <w:ind w:firstLine="0" w:firstLineChars="0"/>
              <w:jc w:val="center"/>
              <w:textAlignment w:val="auto"/>
              <w:rPr>
                <w:rFonts w:ascii="黑体" w:hAnsi="宋体" w:eastAsia="黑体" w:cs="宋体"/>
                <w:color w:val="auto"/>
                <w:sz w:val="30"/>
                <w:szCs w:val="30"/>
                <w:highlight w:val="none"/>
              </w:rPr>
            </w:pPr>
          </w:p>
          <w:p>
            <w:pPr>
              <w:widowControl/>
              <w:adjustRightInd/>
              <w:spacing w:line="240" w:lineRule="auto"/>
              <w:ind w:firstLine="0" w:firstLineChars="0"/>
              <w:jc w:val="center"/>
              <w:textAlignment w:val="auto"/>
              <w:rPr>
                <w:rFonts w:ascii="黑体" w:hAnsi="宋体" w:eastAsia="黑体" w:cs="宋体"/>
                <w:color w:val="auto"/>
                <w:sz w:val="30"/>
                <w:szCs w:val="30"/>
                <w:highlight w:val="none"/>
              </w:rPr>
            </w:pPr>
            <w:r>
              <w:rPr>
                <w:rFonts w:hint="eastAsia" w:ascii="黑体" w:hAnsi="宋体" w:eastAsia="黑体" w:cs="宋体"/>
                <w:color w:val="auto"/>
                <w:sz w:val="30"/>
                <w:szCs w:val="30"/>
                <w:highlight w:val="none"/>
              </w:rPr>
              <w:t>费率报价表</w:t>
            </w:r>
          </w:p>
        </w:tc>
      </w:tr>
      <w:tr>
        <w:tblPrEx>
          <w:tblLayout w:type="fixed"/>
          <w:tblCellMar>
            <w:top w:w="0" w:type="dxa"/>
            <w:left w:w="108" w:type="dxa"/>
            <w:bottom w:w="0" w:type="dxa"/>
            <w:right w:w="108" w:type="dxa"/>
          </w:tblCellMar>
        </w:tblPrEx>
        <w:trPr>
          <w:trHeight w:val="600" w:hRule="atLeast"/>
        </w:trPr>
        <w:tc>
          <w:tcPr>
            <w:tcW w:w="1260" w:type="dxa"/>
            <w:tcBorders>
              <w:top w:val="nil"/>
              <w:left w:val="nil"/>
              <w:bottom w:val="single" w:color="auto" w:sz="4" w:space="0"/>
              <w:right w:val="nil"/>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工程名称：</w:t>
            </w:r>
          </w:p>
        </w:tc>
        <w:tc>
          <w:tcPr>
            <w:tcW w:w="7020" w:type="dxa"/>
            <w:gridSpan w:val="3"/>
            <w:tcBorders>
              <w:top w:val="nil"/>
              <w:left w:val="nil"/>
              <w:bottom w:val="single" w:color="auto" w:sz="4" w:space="0"/>
              <w:right w:val="nil"/>
            </w:tcBorders>
            <w:noWrap/>
            <w:vAlign w:val="center"/>
          </w:tcPr>
          <w:p>
            <w:pPr>
              <w:widowControl/>
              <w:adjustRightInd/>
              <w:spacing w:line="240" w:lineRule="auto"/>
              <w:ind w:firstLine="0" w:firstLineChars="0"/>
              <w:textAlignment w:val="auto"/>
              <w:rPr>
                <w:rFonts w:ascii="Arial" w:hAnsi="Arial" w:cs="Arial"/>
                <w:color w:val="auto"/>
                <w:sz w:val="21"/>
                <w:highlight w:val="none"/>
              </w:rPr>
            </w:pP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序号</w:t>
            </w:r>
          </w:p>
        </w:tc>
        <w:tc>
          <w:tcPr>
            <w:tcW w:w="2520" w:type="dxa"/>
            <w:tcBorders>
              <w:top w:val="nil"/>
              <w:left w:val="nil"/>
              <w:bottom w:val="single" w:color="auto" w:sz="4" w:space="0"/>
              <w:right w:val="nil"/>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费用名称</w:t>
            </w:r>
          </w:p>
        </w:tc>
        <w:tc>
          <w:tcPr>
            <w:tcW w:w="2340"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取费基数</w:t>
            </w:r>
          </w:p>
        </w:tc>
        <w:tc>
          <w:tcPr>
            <w:tcW w:w="216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宋体" w:cs="宋体"/>
                <w:color w:val="auto"/>
                <w:sz w:val="21"/>
                <w:highlight w:val="none"/>
              </w:rPr>
            </w:pPr>
            <w:r>
              <w:rPr>
                <w:rFonts w:hint="eastAsia" w:ascii="宋体" w:hAnsi="宋体" w:cs="宋体"/>
                <w:color w:val="auto"/>
                <w:sz w:val="21"/>
                <w:highlight w:val="none"/>
              </w:rPr>
              <w:t>报价费率（</w:t>
            </w:r>
            <w:r>
              <w:rPr>
                <w:rFonts w:ascii="Arial" w:hAnsi="Arial" w:cs="Arial"/>
                <w:color w:val="auto"/>
                <w:sz w:val="21"/>
                <w:highlight w:val="none"/>
              </w:rPr>
              <w:t>%</w:t>
            </w:r>
            <w:r>
              <w:rPr>
                <w:rFonts w:hint="eastAsia" w:ascii="宋体" w:hAnsi="宋体" w:cs="宋体"/>
                <w:color w:val="auto"/>
                <w:sz w:val="21"/>
                <w:highlight w:val="none"/>
              </w:rPr>
              <w:t>）</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bCs/>
                <w:iCs/>
                <w:color w:val="auto"/>
                <w:sz w:val="21"/>
                <w:highlight w:val="none"/>
              </w:rPr>
            </w:pPr>
            <w:r>
              <w:rPr>
                <w:rFonts w:ascii="Arial" w:hAnsi="Arial" w:cs="Arial"/>
                <w:bCs/>
                <w:iCs/>
                <w:color w:val="auto"/>
                <w:sz w:val="21"/>
                <w:highlight w:val="none"/>
              </w:rPr>
              <w:t>A</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bCs/>
                <w:iCs/>
                <w:color w:val="auto"/>
                <w:sz w:val="21"/>
                <w:highlight w:val="none"/>
              </w:rPr>
            </w:pPr>
            <w:r>
              <w:rPr>
                <w:rFonts w:hint="eastAsia" w:ascii="宋体" w:hAnsi="宋体" w:cs="宋体"/>
                <w:bCs/>
                <w:iCs/>
                <w:color w:val="auto"/>
                <w:sz w:val="21"/>
                <w:highlight w:val="none"/>
              </w:rPr>
              <w:t>建筑工程</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1</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企业管理费</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2</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利润</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bCs/>
                <w:iCs/>
                <w:color w:val="auto"/>
                <w:sz w:val="21"/>
                <w:highlight w:val="none"/>
              </w:rPr>
            </w:pPr>
            <w:r>
              <w:rPr>
                <w:rFonts w:ascii="Arial" w:hAnsi="Arial" w:cs="Arial"/>
                <w:bCs/>
                <w:iCs/>
                <w:color w:val="auto"/>
                <w:sz w:val="21"/>
                <w:highlight w:val="none"/>
              </w:rPr>
              <w:t>B</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bCs/>
                <w:iCs/>
                <w:color w:val="auto"/>
                <w:sz w:val="21"/>
                <w:highlight w:val="none"/>
              </w:rPr>
            </w:pPr>
            <w:r>
              <w:rPr>
                <w:rFonts w:hint="eastAsia" w:ascii="宋体" w:hAnsi="宋体" w:cs="宋体"/>
                <w:bCs/>
                <w:iCs/>
                <w:color w:val="auto"/>
                <w:sz w:val="21"/>
                <w:highlight w:val="none"/>
              </w:rPr>
              <w:t>装饰和装修工程</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3</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企业管理费</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4</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利润</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bCs/>
                <w:iCs/>
                <w:color w:val="auto"/>
                <w:sz w:val="21"/>
                <w:highlight w:val="none"/>
              </w:rPr>
            </w:pPr>
            <w:r>
              <w:rPr>
                <w:rFonts w:ascii="Arial" w:hAnsi="Arial" w:cs="Arial"/>
                <w:bCs/>
                <w:iCs/>
                <w:color w:val="auto"/>
                <w:sz w:val="21"/>
                <w:highlight w:val="none"/>
              </w:rPr>
              <w:t>C</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bCs/>
                <w:iCs/>
                <w:color w:val="auto"/>
                <w:sz w:val="21"/>
                <w:highlight w:val="none"/>
              </w:rPr>
            </w:pPr>
            <w:r>
              <w:rPr>
                <w:rFonts w:hint="eastAsia" w:ascii="宋体" w:hAnsi="宋体" w:cs="宋体"/>
                <w:bCs/>
                <w:iCs/>
                <w:color w:val="auto"/>
                <w:sz w:val="21"/>
                <w:highlight w:val="none"/>
              </w:rPr>
              <w:t>机电安装工程</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5</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企业管理费</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6</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highlight w:val="none"/>
              </w:rPr>
            </w:pPr>
            <w:r>
              <w:rPr>
                <w:rFonts w:hint="eastAsia" w:ascii="宋体" w:hAnsi="宋体" w:cs="宋体"/>
                <w:color w:val="auto"/>
                <w:sz w:val="21"/>
                <w:highlight w:val="none"/>
              </w:rPr>
              <w:t>利润</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bCs/>
                <w:iCs/>
                <w:color w:val="auto"/>
                <w:sz w:val="21"/>
                <w:highlight w:val="none"/>
              </w:rPr>
              <w:t>D</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宋体" w:hAnsi="宋体" w:cs="宋体"/>
                <w:bCs/>
                <w:iCs/>
                <w:color w:val="auto"/>
                <w:sz w:val="21"/>
                <w:highlight w:val="none"/>
              </w:rPr>
              <w:t>市政</w:t>
            </w:r>
            <w:r>
              <w:rPr>
                <w:rFonts w:ascii="宋体" w:hAnsi="宋体" w:cs="宋体"/>
                <w:bCs/>
                <w:iCs/>
                <w:color w:val="auto"/>
                <w:sz w:val="21"/>
                <w:highlight w:val="none"/>
              </w:rPr>
              <w:t>/</w:t>
            </w:r>
            <w:r>
              <w:rPr>
                <w:rFonts w:hint="eastAsia" w:ascii="宋体" w:hAnsi="宋体" w:cs="宋体"/>
                <w:bCs/>
                <w:iCs/>
                <w:color w:val="auto"/>
                <w:sz w:val="21"/>
                <w:highlight w:val="none"/>
              </w:rPr>
              <w:t>园林绿化工程</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7</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宋体" w:hAnsi="宋体" w:cs="宋体"/>
                <w:color w:val="auto"/>
                <w:sz w:val="21"/>
                <w:highlight w:val="none"/>
              </w:rPr>
              <w:t>企业管理费</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ascii="Arial" w:hAnsi="Arial" w:cs="Arial"/>
                <w:color w:val="auto"/>
                <w:sz w:val="21"/>
                <w:highlight w:val="none"/>
              </w:rPr>
              <w:t>8</w:t>
            </w:r>
          </w:p>
        </w:tc>
        <w:tc>
          <w:tcPr>
            <w:tcW w:w="252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宋体" w:hAnsi="宋体" w:cs="宋体"/>
                <w:color w:val="auto"/>
                <w:sz w:val="21"/>
                <w:highlight w:val="none"/>
              </w:rPr>
              <w:t>利润</w:t>
            </w:r>
          </w:p>
        </w:tc>
        <w:tc>
          <w:tcPr>
            <w:tcW w:w="234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16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r>
      <w:tr>
        <w:tblPrEx>
          <w:tblLayout w:type="fixed"/>
          <w:tblCellMar>
            <w:top w:w="0" w:type="dxa"/>
            <w:left w:w="108" w:type="dxa"/>
            <w:bottom w:w="0" w:type="dxa"/>
            <w:right w:w="108" w:type="dxa"/>
          </w:tblCellMar>
        </w:tblPrEx>
        <w:trPr>
          <w:trHeight w:val="600" w:hRule="atLeast"/>
        </w:trPr>
        <w:tc>
          <w:tcPr>
            <w:tcW w:w="1260"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Arial" w:hAnsi="Arial" w:cs="Arial"/>
                <w:color w:val="auto"/>
                <w:sz w:val="21"/>
                <w:highlight w:val="none"/>
              </w:rPr>
            </w:pPr>
            <w:r>
              <w:rPr>
                <w:rFonts w:hint="eastAsia" w:ascii="Arial" w:hAnsi="Arial" w:cs="Arial"/>
                <w:color w:val="auto"/>
                <w:sz w:val="21"/>
                <w:highlight w:val="none"/>
              </w:rPr>
              <w:t>　</w:t>
            </w:r>
          </w:p>
        </w:tc>
        <w:tc>
          <w:tcPr>
            <w:tcW w:w="252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Arial" w:hAnsi="Arial" w:cs="Arial"/>
                <w:bCs/>
                <w:color w:val="auto"/>
                <w:sz w:val="21"/>
                <w:highlight w:val="none"/>
              </w:rPr>
            </w:pPr>
            <w:r>
              <w:rPr>
                <w:rFonts w:hint="eastAsia" w:ascii="Arial" w:hAnsi="Arial" w:cs="Arial"/>
                <w:bCs/>
                <w:color w:val="auto"/>
                <w:sz w:val="21"/>
                <w:highlight w:val="none"/>
              </w:rPr>
              <w:t>　</w:t>
            </w:r>
          </w:p>
        </w:tc>
        <w:tc>
          <w:tcPr>
            <w:tcW w:w="234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Arial" w:hAnsi="Arial" w:cs="Arial"/>
                <w:bCs/>
                <w:color w:val="auto"/>
                <w:sz w:val="21"/>
                <w:highlight w:val="none"/>
              </w:rPr>
            </w:pPr>
            <w:r>
              <w:rPr>
                <w:rFonts w:hint="eastAsia" w:ascii="Arial" w:hAnsi="Arial" w:cs="Arial"/>
                <w:bCs/>
                <w:color w:val="auto"/>
                <w:sz w:val="21"/>
                <w:highlight w:val="none"/>
              </w:rPr>
              <w:t>　</w:t>
            </w:r>
          </w:p>
        </w:tc>
        <w:tc>
          <w:tcPr>
            <w:tcW w:w="216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jc w:val="center"/>
              <w:textAlignment w:val="auto"/>
              <w:rPr>
                <w:rFonts w:ascii="Arial" w:hAnsi="Arial" w:cs="Arial"/>
                <w:bCs/>
                <w:color w:val="auto"/>
                <w:sz w:val="21"/>
                <w:highlight w:val="none"/>
              </w:rPr>
            </w:pPr>
            <w:r>
              <w:rPr>
                <w:rFonts w:hint="eastAsia" w:ascii="Arial" w:hAnsi="Arial" w:cs="Arial"/>
                <w:bCs/>
                <w:color w:val="auto"/>
                <w:sz w:val="21"/>
                <w:highlight w:val="none"/>
              </w:rPr>
              <w:t>　</w:t>
            </w:r>
          </w:p>
        </w:tc>
      </w:tr>
    </w:tbl>
    <w:p>
      <w:pPr>
        <w:adjustRightInd/>
        <w:spacing w:afterLines="50" w:line="300" w:lineRule="auto"/>
        <w:ind w:firstLine="0" w:firstLineChars="0"/>
        <w:jc w:val="both"/>
        <w:textAlignment w:val="auto"/>
        <w:rPr>
          <w:rFonts w:ascii="Arial" w:hAnsi="宋体" w:cs="Arial"/>
          <w:color w:val="auto"/>
          <w:kern w:val="2"/>
          <w:sz w:val="21"/>
          <w:szCs w:val="24"/>
          <w:highlight w:val="none"/>
        </w:rPr>
        <w:sectPr>
          <w:pgSz w:w="11906" w:h="16838"/>
          <w:pgMar w:top="1440" w:right="1797" w:bottom="1440" w:left="1797" w:header="851" w:footer="992" w:gutter="0"/>
          <w:cols w:space="425" w:num="1"/>
          <w:docGrid w:linePitch="312" w:charSpace="0"/>
        </w:sectPr>
      </w:pPr>
    </w:p>
    <w:p>
      <w:pPr>
        <w:keepNext/>
        <w:keepLines/>
        <w:adjustRightInd/>
        <w:spacing w:beforeLines="50" w:afterLines="50"/>
        <w:ind w:firstLine="0" w:firstLineChars="0"/>
        <w:jc w:val="both"/>
        <w:textAlignment w:val="auto"/>
        <w:outlineLvl w:val="2"/>
        <w:rPr>
          <w:rFonts w:ascii="宋体"/>
          <w:color w:val="auto"/>
          <w:highlight w:val="none"/>
        </w:rPr>
      </w:pPr>
    </w:p>
    <w:tbl>
      <w:tblPr>
        <w:tblStyle w:val="47"/>
        <w:tblW w:w="10206" w:type="dxa"/>
        <w:tblInd w:w="-838" w:type="dxa"/>
        <w:tblLayout w:type="fixed"/>
        <w:tblCellMar>
          <w:top w:w="0" w:type="dxa"/>
          <w:left w:w="108" w:type="dxa"/>
          <w:bottom w:w="0" w:type="dxa"/>
          <w:right w:w="108" w:type="dxa"/>
        </w:tblCellMar>
      </w:tblPr>
      <w:tblGrid>
        <w:gridCol w:w="1080"/>
        <w:gridCol w:w="1330"/>
        <w:gridCol w:w="1134"/>
        <w:gridCol w:w="1418"/>
        <w:gridCol w:w="1134"/>
        <w:gridCol w:w="1559"/>
        <w:gridCol w:w="1417"/>
        <w:gridCol w:w="1134"/>
      </w:tblGrid>
      <w:tr>
        <w:tblPrEx>
          <w:tblLayout w:type="fixed"/>
          <w:tblCellMar>
            <w:top w:w="0" w:type="dxa"/>
            <w:left w:w="108" w:type="dxa"/>
            <w:bottom w:w="0" w:type="dxa"/>
            <w:right w:w="108" w:type="dxa"/>
          </w:tblCellMar>
        </w:tblPrEx>
        <w:trPr>
          <w:trHeight w:val="552" w:hRule="atLeast"/>
        </w:trPr>
        <w:tc>
          <w:tcPr>
            <w:tcW w:w="10206" w:type="dxa"/>
            <w:gridSpan w:val="8"/>
            <w:tcBorders>
              <w:top w:val="nil"/>
              <w:left w:val="nil"/>
              <w:bottom w:val="nil"/>
              <w:right w:val="nil"/>
            </w:tcBorders>
            <w:noWrap/>
          </w:tcPr>
          <w:p>
            <w:pPr>
              <w:widowControl/>
              <w:adjustRightInd/>
              <w:spacing w:line="240" w:lineRule="auto"/>
              <w:ind w:firstLine="0" w:firstLineChars="0"/>
              <w:jc w:val="center"/>
              <w:textAlignment w:val="auto"/>
              <w:rPr>
                <w:rFonts w:ascii="黑体" w:hAnsi="宋体" w:eastAsia="黑体" w:cs="宋体"/>
                <w:color w:val="auto"/>
                <w:sz w:val="30"/>
                <w:szCs w:val="30"/>
                <w:highlight w:val="none"/>
              </w:rPr>
            </w:pPr>
            <w:bookmarkStart w:id="1038" w:name="RANGE!A1:H18"/>
            <w:bookmarkEnd w:id="1038"/>
            <w:r>
              <w:rPr>
                <w:rFonts w:hint="eastAsia" w:ascii="黑体" w:hAnsi="宋体" w:eastAsia="黑体" w:cs="宋体"/>
                <w:color w:val="auto"/>
                <w:sz w:val="30"/>
                <w:szCs w:val="30"/>
                <w:highlight w:val="none"/>
              </w:rPr>
              <w:t>主要材料和工程设备选用表</w:t>
            </w:r>
          </w:p>
        </w:tc>
      </w:tr>
      <w:tr>
        <w:tblPrEx>
          <w:tblLayout w:type="fixed"/>
          <w:tblCellMar>
            <w:top w:w="0" w:type="dxa"/>
            <w:left w:w="108" w:type="dxa"/>
            <w:bottom w:w="0" w:type="dxa"/>
            <w:right w:w="108" w:type="dxa"/>
          </w:tblCellMar>
        </w:tblPrEx>
        <w:trPr>
          <w:trHeight w:val="390" w:hRule="atLeast"/>
        </w:trPr>
        <w:tc>
          <w:tcPr>
            <w:tcW w:w="10206" w:type="dxa"/>
            <w:gridSpan w:val="8"/>
            <w:tcBorders>
              <w:top w:val="nil"/>
              <w:left w:val="nil"/>
              <w:bottom w:val="nil"/>
              <w:right w:val="nil"/>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工程名称：</w:t>
            </w:r>
          </w:p>
        </w:tc>
      </w:tr>
      <w:tr>
        <w:tblPrEx>
          <w:tblLayout w:type="fixed"/>
          <w:tblCellMar>
            <w:top w:w="0" w:type="dxa"/>
            <w:left w:w="108" w:type="dxa"/>
            <w:bottom w:w="0" w:type="dxa"/>
            <w:right w:w="108" w:type="dxa"/>
          </w:tblCellMar>
        </w:tblPrEx>
        <w:trPr>
          <w:trHeight w:val="499" w:hRule="atLeast"/>
        </w:trPr>
        <w:tc>
          <w:tcPr>
            <w:tcW w:w="1080" w:type="dxa"/>
            <w:tcBorders>
              <w:top w:val="single" w:color="auto" w:sz="4" w:space="0"/>
              <w:left w:val="single" w:color="auto" w:sz="4" w:space="0"/>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序号</w:t>
            </w:r>
          </w:p>
        </w:tc>
        <w:tc>
          <w:tcPr>
            <w:tcW w:w="1330"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材料和工程设备名称</w:t>
            </w:r>
          </w:p>
        </w:tc>
        <w:tc>
          <w:tcPr>
            <w:tcW w:w="1134"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单位</w:t>
            </w:r>
          </w:p>
        </w:tc>
        <w:tc>
          <w:tcPr>
            <w:tcW w:w="1418"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单价</w:t>
            </w:r>
          </w:p>
        </w:tc>
        <w:tc>
          <w:tcPr>
            <w:tcW w:w="1134"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数量</w:t>
            </w:r>
          </w:p>
        </w:tc>
        <w:tc>
          <w:tcPr>
            <w:tcW w:w="1559"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品牌</w:t>
            </w:r>
            <w:r>
              <w:rPr>
                <w:rFonts w:ascii="Arial" w:hAnsi="Arial" w:cs="Arial"/>
                <w:color w:val="auto"/>
                <w:sz w:val="21"/>
                <w:szCs w:val="24"/>
                <w:highlight w:val="none"/>
              </w:rPr>
              <w:t>/</w:t>
            </w:r>
            <w:r>
              <w:rPr>
                <w:rFonts w:hint="eastAsia" w:ascii="宋体" w:hAnsi="宋体" w:cs="宋体"/>
                <w:color w:val="auto"/>
                <w:sz w:val="21"/>
                <w:szCs w:val="24"/>
                <w:highlight w:val="none"/>
              </w:rPr>
              <w:t>厂家</w:t>
            </w:r>
          </w:p>
        </w:tc>
        <w:tc>
          <w:tcPr>
            <w:tcW w:w="1417"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规格型号</w:t>
            </w:r>
          </w:p>
        </w:tc>
        <w:tc>
          <w:tcPr>
            <w:tcW w:w="1134" w:type="dxa"/>
            <w:tcBorders>
              <w:top w:val="single" w:color="auto" w:sz="4" w:space="0"/>
              <w:left w:val="nil"/>
              <w:bottom w:val="single" w:color="auto" w:sz="4" w:space="0"/>
              <w:right w:val="single" w:color="auto" w:sz="4" w:space="0"/>
            </w:tcBorders>
            <w:vAlign w:val="center"/>
          </w:tcPr>
          <w:p>
            <w:pPr>
              <w:widowControl/>
              <w:adjustRightInd/>
              <w:spacing w:line="240" w:lineRule="auto"/>
              <w:ind w:firstLine="0" w:firstLineChars="0"/>
              <w:jc w:val="center"/>
              <w:textAlignment w:val="auto"/>
              <w:rPr>
                <w:rFonts w:ascii="宋体" w:cs="宋体"/>
                <w:color w:val="auto"/>
                <w:sz w:val="21"/>
                <w:szCs w:val="24"/>
                <w:highlight w:val="none"/>
              </w:rPr>
            </w:pPr>
            <w:r>
              <w:rPr>
                <w:rFonts w:hint="eastAsia" w:ascii="宋体" w:hAnsi="宋体" w:cs="宋体"/>
                <w:color w:val="auto"/>
                <w:sz w:val="21"/>
                <w:szCs w:val="24"/>
                <w:highlight w:val="none"/>
              </w:rPr>
              <w:t>备注</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330" w:type="dxa"/>
            <w:tcBorders>
              <w:top w:val="nil"/>
              <w:left w:val="nil"/>
              <w:bottom w:val="nil"/>
              <w:right w:val="single" w:color="auto" w:sz="4" w:space="0"/>
            </w:tcBorders>
            <w:vAlign w:val="center"/>
          </w:tcPr>
          <w:p>
            <w:pPr>
              <w:widowControl/>
              <w:adjustRightInd/>
              <w:spacing w:line="240" w:lineRule="auto"/>
              <w:ind w:firstLine="0" w:firstLineChars="0"/>
              <w:jc w:val="both"/>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8"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559"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417"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c>
          <w:tcPr>
            <w:tcW w:w="1134" w:type="dxa"/>
            <w:tcBorders>
              <w:top w:val="nil"/>
              <w:left w:val="nil"/>
              <w:bottom w:val="nil"/>
              <w:right w:val="single" w:color="auto" w:sz="4" w:space="0"/>
            </w:tcBorders>
            <w:vAlign w:val="center"/>
          </w:tcPr>
          <w:p>
            <w:pPr>
              <w:widowControl/>
              <w:adjustRightInd/>
              <w:spacing w:line="240" w:lineRule="auto"/>
              <w:ind w:firstLine="0" w:firstLineChars="0"/>
              <w:textAlignment w:val="auto"/>
              <w:rPr>
                <w:rFonts w:ascii="Arial" w:hAnsi="Arial" w:cs="Arial"/>
                <w:color w:val="auto"/>
                <w:sz w:val="21"/>
                <w:szCs w:val="24"/>
                <w:highlight w:val="none"/>
              </w:rPr>
            </w:pPr>
            <w:r>
              <w:rPr>
                <w:rFonts w:hint="eastAsia" w:ascii="Arial" w:hAnsi="Arial" w:cs="Arial"/>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33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8"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55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330"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8"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559"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7"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nil"/>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80" w:type="dxa"/>
            <w:tcBorders>
              <w:top w:val="nil"/>
              <w:left w:val="single" w:color="auto" w:sz="4" w:space="0"/>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330"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8"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559"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417"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c>
          <w:tcPr>
            <w:tcW w:w="1134" w:type="dxa"/>
            <w:tcBorders>
              <w:top w:val="nil"/>
              <w:left w:val="nil"/>
              <w:bottom w:val="single" w:color="auto" w:sz="4" w:space="0"/>
              <w:right w:val="single" w:color="auto" w:sz="4" w:space="0"/>
            </w:tcBorders>
            <w:noWrap/>
            <w:vAlign w:val="center"/>
          </w:tcPr>
          <w:p>
            <w:pPr>
              <w:widowControl/>
              <w:adjustRightInd/>
              <w:spacing w:line="240" w:lineRule="auto"/>
              <w:ind w:firstLine="0" w:firstLineChars="0"/>
              <w:textAlignment w:val="auto"/>
              <w:rPr>
                <w:rFonts w:ascii="宋体" w:cs="宋体"/>
                <w:color w:val="auto"/>
                <w:sz w:val="21"/>
                <w:szCs w:val="24"/>
                <w:highlight w:val="none"/>
              </w:rPr>
            </w:pPr>
            <w:r>
              <w:rPr>
                <w:rFonts w:hint="eastAsia" w:ascii="宋体" w:hAnsi="宋体" w:cs="宋体"/>
                <w:color w:val="auto"/>
                <w:sz w:val="21"/>
                <w:szCs w:val="24"/>
                <w:highlight w:val="none"/>
              </w:rPr>
              <w:t>　</w:t>
            </w:r>
          </w:p>
        </w:tc>
      </w:tr>
      <w:tr>
        <w:tblPrEx>
          <w:tblLayout w:type="fixed"/>
          <w:tblCellMar>
            <w:top w:w="0" w:type="dxa"/>
            <w:left w:w="108" w:type="dxa"/>
            <w:bottom w:w="0" w:type="dxa"/>
            <w:right w:w="108" w:type="dxa"/>
          </w:tblCellMar>
        </w:tblPrEx>
        <w:trPr>
          <w:trHeight w:val="499" w:hRule="atLeast"/>
        </w:trPr>
        <w:tc>
          <w:tcPr>
            <w:tcW w:w="10206" w:type="dxa"/>
            <w:gridSpan w:val="8"/>
            <w:tcBorders>
              <w:top w:val="nil"/>
              <w:left w:val="nil"/>
              <w:bottom w:val="nil"/>
              <w:right w:val="nil"/>
            </w:tcBorders>
            <w:noWrap/>
            <w:vAlign w:val="bottom"/>
          </w:tcPr>
          <w:p>
            <w:pPr>
              <w:widowControl/>
              <w:adjustRightInd/>
              <w:spacing w:line="240" w:lineRule="auto"/>
              <w:ind w:firstLine="0" w:firstLineChars="0"/>
              <w:textAlignment w:val="auto"/>
              <w:rPr>
                <w:rFonts w:ascii="宋体" w:cs="宋体"/>
                <w:color w:val="auto"/>
                <w:sz w:val="21"/>
                <w:szCs w:val="24"/>
                <w:highlight w:val="none"/>
              </w:rPr>
            </w:pPr>
            <w:r>
              <w:rPr>
                <w:rFonts w:hint="eastAsia" w:ascii="黑体" w:hAnsi="宋体" w:eastAsia="黑体" w:cs="宋体"/>
                <w:color w:val="auto"/>
                <w:sz w:val="21"/>
                <w:szCs w:val="21"/>
                <w:highlight w:val="none"/>
              </w:rPr>
              <w:t>注：</w:t>
            </w:r>
            <w:r>
              <w:rPr>
                <w:rFonts w:hint="eastAsia" w:ascii="宋体" w:hAnsi="宋体" w:cs="宋体"/>
                <w:color w:val="auto"/>
                <w:sz w:val="21"/>
                <w:szCs w:val="21"/>
                <w:highlight w:val="none"/>
              </w:rPr>
              <w:t>本表中所列材料设备应仅限于供应商自行采购范围内的材料设备。本表格可以按照同样的格式扩展。</w:t>
            </w:r>
          </w:p>
        </w:tc>
      </w:tr>
    </w:tbl>
    <w:p>
      <w:pPr>
        <w:rPr>
          <w:rFonts w:ascii="宋体" w:hAnsi="宋体"/>
          <w:color w:val="auto"/>
          <w:highlight w:val="none"/>
        </w:rPr>
        <w:sectPr>
          <w:headerReference r:id="rId21" w:type="first"/>
          <w:footerReference r:id="rId24" w:type="first"/>
          <w:footerReference r:id="rId22" w:type="default"/>
          <w:headerReference r:id="rId20" w:type="even"/>
          <w:footerReference r:id="rId23" w:type="even"/>
          <w:pgSz w:w="11906" w:h="16838"/>
          <w:pgMar w:top="1418" w:right="1134" w:bottom="1418" w:left="1701" w:header="851" w:footer="851" w:gutter="0"/>
          <w:cols w:space="720" w:num="1"/>
          <w:docGrid w:type="lines" w:linePitch="326" w:charSpace="0"/>
        </w:sectPr>
      </w:pPr>
    </w:p>
    <w:p>
      <w:pPr>
        <w:pStyle w:val="4"/>
        <w:rPr>
          <w:rFonts w:ascii="Times New Roman" w:hAnsi="Times New Roman"/>
          <w:color w:val="auto"/>
          <w:highlight w:val="none"/>
        </w:rPr>
      </w:pPr>
      <w:bookmarkStart w:id="1039" w:name="_Toc518557372"/>
      <w:r>
        <w:rPr>
          <w:rFonts w:ascii="Times New Roman" w:hAnsi="Times New Roman"/>
          <w:color w:val="auto"/>
          <w:highlight w:val="none"/>
        </w:rPr>
        <w:t>附件4 法定代表人授权书</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39"/>
    </w:p>
    <w:p>
      <w:pPr>
        <w:pStyle w:val="155"/>
        <w:rPr>
          <w:rFonts w:ascii="Times New Roman" w:hAnsi="Times New Roman"/>
          <w:color w:val="auto"/>
          <w:highlight w:val="none"/>
        </w:rPr>
      </w:pPr>
      <w:r>
        <w:rPr>
          <w:rFonts w:ascii="Times New Roman" w:hAnsi="Times New Roman"/>
          <w:color w:val="auto"/>
          <w:highlight w:val="none"/>
        </w:rPr>
        <w:t>法定代表人授权书</w:t>
      </w:r>
    </w:p>
    <w:p>
      <w:pPr>
        <w:rPr>
          <w:color w:val="auto"/>
          <w:highlight w:val="none"/>
        </w:rPr>
      </w:pPr>
    </w:p>
    <w:p>
      <w:pPr>
        <w:rPr>
          <w:color w:val="auto"/>
          <w:highlight w:val="none"/>
        </w:rPr>
      </w:pPr>
      <w:r>
        <w:rPr>
          <w:color w:val="auto"/>
          <w:highlight w:val="none"/>
        </w:rPr>
        <w:t>本授权书声明：注册于中华人民共和国的</w:t>
      </w:r>
      <w:r>
        <w:rPr>
          <w:color w:val="auto"/>
          <w:highlight w:val="none"/>
          <w:u w:val="single"/>
        </w:rPr>
        <w:t>（供应商名称）</w:t>
      </w:r>
      <w:r>
        <w:rPr>
          <w:color w:val="auto"/>
          <w:highlight w:val="none"/>
        </w:rPr>
        <w:t>的在下面签字的</w:t>
      </w:r>
      <w:r>
        <w:rPr>
          <w:color w:val="auto"/>
          <w:highlight w:val="none"/>
          <w:u w:val="single"/>
        </w:rPr>
        <w:t>（法定代表人姓名、职务）</w:t>
      </w:r>
      <w:r>
        <w:rPr>
          <w:color w:val="auto"/>
          <w:highlight w:val="none"/>
        </w:rPr>
        <w:t>代表本单位授权的在下面签字的</w:t>
      </w:r>
      <w:r>
        <w:rPr>
          <w:color w:val="auto"/>
          <w:highlight w:val="none"/>
          <w:u w:val="single"/>
        </w:rPr>
        <w:t>（被授权人的姓名、职务）</w:t>
      </w:r>
      <w:r>
        <w:rPr>
          <w:color w:val="auto"/>
          <w:highlight w:val="none"/>
        </w:rPr>
        <w:t>为本单位的合法代理人，就</w:t>
      </w:r>
      <w:r>
        <w:rPr>
          <w:rFonts w:hint="eastAsia"/>
          <w:color w:val="auto"/>
          <w:highlight w:val="none"/>
        </w:rPr>
        <w:t xml:space="preserve"> </w:t>
      </w:r>
      <w:r>
        <w:rPr>
          <w:color w:val="auto"/>
          <w:highlight w:val="none"/>
        </w:rPr>
        <w:t>(</w:t>
      </w:r>
      <w:r>
        <w:rPr>
          <w:rFonts w:hint="eastAsia"/>
          <w:color w:val="auto"/>
          <w:highlight w:val="none"/>
          <w:u w:val="single"/>
        </w:rPr>
        <w:t>工程</w:t>
      </w:r>
      <w:r>
        <w:rPr>
          <w:color w:val="auto"/>
          <w:highlight w:val="none"/>
          <w:u w:val="single"/>
        </w:rPr>
        <w:t>名称)</w:t>
      </w:r>
      <w:r>
        <w:rPr>
          <w:color w:val="auto"/>
          <w:highlight w:val="none"/>
        </w:rPr>
        <w:t>的响应，以本单位名义处理一切与之有关的事务。</w:t>
      </w:r>
    </w:p>
    <w:p>
      <w:pPr>
        <w:rPr>
          <w:color w:val="auto"/>
          <w:highlight w:val="none"/>
        </w:rPr>
      </w:pPr>
      <w:r>
        <w:rPr>
          <w:color w:val="auto"/>
          <w:highlight w:val="none"/>
        </w:rPr>
        <w:t>本授权书于年月日签字生效，特此声明。</w:t>
      </w:r>
    </w:p>
    <w:p>
      <w:pPr>
        <w:rPr>
          <w:color w:val="auto"/>
          <w:highlight w:val="none"/>
        </w:rPr>
      </w:pPr>
    </w:p>
    <w:p>
      <w:pPr>
        <w:rPr>
          <w:color w:val="auto"/>
          <w:highlight w:val="none"/>
        </w:rPr>
      </w:pPr>
    </w:p>
    <w:p>
      <w:pPr>
        <w:rPr>
          <w:color w:val="auto"/>
          <w:highlight w:val="none"/>
        </w:rPr>
      </w:pPr>
    </w:p>
    <w:p>
      <w:pPr>
        <w:rPr>
          <w:color w:val="auto"/>
          <w:highlight w:val="none"/>
        </w:rPr>
      </w:pPr>
      <w:r>
        <w:rPr>
          <w:color w:val="auto"/>
          <w:highlight w:val="none"/>
        </w:rPr>
        <w:t>法定代表人（签字或印鉴）：_______________________</w:t>
      </w:r>
    </w:p>
    <w:p>
      <w:pPr>
        <w:rPr>
          <w:color w:val="auto"/>
          <w:highlight w:val="none"/>
        </w:rPr>
      </w:pPr>
      <w:r>
        <w:rPr>
          <w:color w:val="auto"/>
          <w:highlight w:val="none"/>
        </w:rPr>
        <w:t>被授权人（签字）：_______________________</w:t>
      </w:r>
    </w:p>
    <w:p>
      <w:pPr>
        <w:widowControl/>
        <w:adjustRightInd/>
        <w:spacing w:line="240" w:lineRule="auto"/>
        <w:ind w:firstLine="0" w:firstLineChars="0"/>
        <w:textAlignment w:val="auto"/>
        <w:rPr>
          <w:color w:val="auto"/>
          <w:highlight w:val="none"/>
        </w:rPr>
      </w:pPr>
      <w:r>
        <w:rPr>
          <w:rFonts w:hint="eastAsia"/>
          <w:color w:val="auto"/>
          <w:highlight w:val="none"/>
        </w:rPr>
        <w:t xml:space="preserve">    </w:t>
      </w:r>
      <w:r>
        <w:rPr>
          <w:color w:val="auto"/>
          <w:highlight w:val="none"/>
        </w:rPr>
        <w:t>供应商名称（加盖公章）：_______________________</w:t>
      </w:r>
      <w:r>
        <w:rPr>
          <w:color w:val="auto"/>
          <w:highlight w:val="none"/>
        </w:rPr>
        <w:br w:type="page"/>
      </w:r>
    </w:p>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Pr>
        <w:pStyle w:val="4"/>
        <w:rPr>
          <w:rFonts w:ascii="Times New Roman" w:hAnsi="Times New Roman"/>
          <w:color w:val="auto"/>
          <w:highlight w:val="none"/>
        </w:rPr>
        <w:sectPr>
          <w:headerReference r:id="rId26" w:type="first"/>
          <w:footerReference r:id="rId29" w:type="first"/>
          <w:footerReference r:id="rId27" w:type="default"/>
          <w:headerReference r:id="rId25" w:type="even"/>
          <w:footerReference r:id="rId28" w:type="even"/>
          <w:pgSz w:w="11906" w:h="16838"/>
          <w:pgMar w:top="1418" w:right="1418" w:bottom="1418" w:left="1588" w:header="851" w:footer="851" w:gutter="0"/>
          <w:cols w:space="720" w:num="1"/>
          <w:docGrid w:linePitch="312" w:charSpace="0"/>
        </w:sectPr>
      </w:pPr>
      <w:bookmarkStart w:id="1040" w:name="_Toc443397273"/>
      <w:bookmarkStart w:id="1041" w:name="_Toc462069446"/>
      <w:bookmarkStart w:id="1042" w:name="_Toc432430524"/>
      <w:bookmarkStart w:id="1043" w:name="_Toc453622081"/>
      <w:bookmarkStart w:id="1044" w:name="_Toc462066512"/>
    </w:p>
    <w:p>
      <w:pPr>
        <w:pStyle w:val="4"/>
        <w:rPr>
          <w:rFonts w:ascii="Times New Roman" w:hAnsi="Times New Roman"/>
          <w:color w:val="auto"/>
          <w:highlight w:val="none"/>
        </w:rPr>
      </w:pPr>
      <w:bookmarkStart w:id="1045" w:name="_Toc518557373"/>
      <w:r>
        <w:rPr>
          <w:rFonts w:ascii="Times New Roman" w:hAnsi="Times New Roman"/>
          <w:color w:val="auto"/>
          <w:highlight w:val="none"/>
        </w:rPr>
        <w:t>附件</w:t>
      </w:r>
      <w:r>
        <w:rPr>
          <w:rFonts w:hint="eastAsia" w:ascii="Times New Roman" w:hAnsi="Times New Roman"/>
          <w:color w:val="auto"/>
          <w:highlight w:val="none"/>
        </w:rPr>
        <w:t>5</w:t>
      </w:r>
      <w:r>
        <w:rPr>
          <w:rFonts w:ascii="Times New Roman" w:hAnsi="Times New Roman"/>
          <w:color w:val="auto"/>
          <w:highlight w:val="none"/>
        </w:rPr>
        <w:t>供应商基本情况表</w:t>
      </w:r>
      <w:bookmarkEnd w:id="1040"/>
      <w:bookmarkEnd w:id="1041"/>
      <w:bookmarkEnd w:id="1042"/>
      <w:bookmarkEnd w:id="1043"/>
      <w:bookmarkEnd w:id="1044"/>
      <w:bookmarkEnd w:id="1045"/>
    </w:p>
    <w:p>
      <w:pPr>
        <w:pStyle w:val="155"/>
        <w:rPr>
          <w:rFonts w:ascii="Times New Roman" w:hAnsi="Times New Roman"/>
          <w:color w:val="auto"/>
          <w:highlight w:val="none"/>
        </w:rPr>
      </w:pPr>
      <w:r>
        <w:rPr>
          <w:rFonts w:ascii="Times New Roman" w:hAnsi="Times New Roman"/>
          <w:color w:val="auto"/>
          <w:highlight w:val="none"/>
        </w:rPr>
        <w:t>供应商基本情况表</w:t>
      </w:r>
    </w:p>
    <w:tbl>
      <w:tblPr>
        <w:tblStyle w:val="47"/>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2228"/>
        <w:gridCol w:w="888"/>
        <w:gridCol w:w="33"/>
        <w:gridCol w:w="712"/>
        <w:gridCol w:w="849"/>
        <w:gridCol w:w="710"/>
        <w:gridCol w:w="179"/>
        <w:gridCol w:w="575"/>
        <w:gridCol w:w="754"/>
        <w:gridCol w:w="1018"/>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单位名称</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成立日期</w:t>
            </w:r>
          </w:p>
        </w:tc>
        <w:tc>
          <w:tcPr>
            <w:tcW w:w="888" w:type="dxa"/>
            <w:shd w:val="clear" w:color="auto" w:fill="auto"/>
            <w:vAlign w:val="center"/>
          </w:tcPr>
          <w:p>
            <w:pPr>
              <w:pStyle w:val="145"/>
              <w:rPr>
                <w:rFonts w:ascii="Times New Roman" w:hAnsi="Times New Roman"/>
                <w:color w:val="auto"/>
                <w:sz w:val="24"/>
                <w:szCs w:val="24"/>
                <w:highlight w:val="none"/>
              </w:rPr>
            </w:pPr>
          </w:p>
        </w:tc>
        <w:tc>
          <w:tcPr>
            <w:tcW w:w="2483" w:type="dxa"/>
            <w:gridSpan w:val="5"/>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企业法人营业执照注册号</w:t>
            </w:r>
          </w:p>
        </w:tc>
        <w:tc>
          <w:tcPr>
            <w:tcW w:w="575" w:type="dxa"/>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注册资本</w:t>
            </w:r>
          </w:p>
        </w:tc>
        <w:tc>
          <w:tcPr>
            <w:tcW w:w="2032"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企业类型</w:t>
            </w:r>
          </w:p>
        </w:tc>
        <w:tc>
          <w:tcPr>
            <w:tcW w:w="888" w:type="dxa"/>
            <w:shd w:val="clear" w:color="auto" w:fill="auto"/>
            <w:vAlign w:val="center"/>
          </w:tcPr>
          <w:p>
            <w:pPr>
              <w:pStyle w:val="145"/>
              <w:rPr>
                <w:rFonts w:ascii="Times New Roman" w:hAnsi="Times New Roman"/>
                <w:color w:val="auto"/>
                <w:sz w:val="24"/>
                <w:szCs w:val="24"/>
                <w:highlight w:val="none"/>
              </w:rPr>
            </w:pPr>
          </w:p>
        </w:tc>
        <w:tc>
          <w:tcPr>
            <w:tcW w:w="2483" w:type="dxa"/>
            <w:gridSpan w:val="5"/>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组织代码</w:t>
            </w:r>
          </w:p>
        </w:tc>
        <w:tc>
          <w:tcPr>
            <w:tcW w:w="575" w:type="dxa"/>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注册地址</w:t>
            </w:r>
          </w:p>
        </w:tc>
        <w:tc>
          <w:tcPr>
            <w:tcW w:w="2032"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邮政编码</w:t>
            </w:r>
          </w:p>
        </w:tc>
        <w:tc>
          <w:tcPr>
            <w:tcW w:w="888" w:type="dxa"/>
            <w:shd w:val="clear" w:color="auto" w:fill="auto"/>
            <w:vAlign w:val="center"/>
          </w:tcPr>
          <w:p>
            <w:pPr>
              <w:pStyle w:val="145"/>
              <w:rPr>
                <w:rFonts w:ascii="Times New Roman" w:hAnsi="Times New Roman"/>
                <w:color w:val="auto"/>
                <w:sz w:val="24"/>
                <w:szCs w:val="24"/>
                <w:highlight w:val="none"/>
              </w:rPr>
            </w:pPr>
          </w:p>
        </w:tc>
        <w:tc>
          <w:tcPr>
            <w:tcW w:w="2483" w:type="dxa"/>
            <w:gridSpan w:val="5"/>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电话</w:t>
            </w:r>
          </w:p>
        </w:tc>
        <w:tc>
          <w:tcPr>
            <w:tcW w:w="575" w:type="dxa"/>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传真</w:t>
            </w:r>
          </w:p>
        </w:tc>
        <w:tc>
          <w:tcPr>
            <w:tcW w:w="2032"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主管部门</w:t>
            </w:r>
          </w:p>
        </w:tc>
        <w:tc>
          <w:tcPr>
            <w:tcW w:w="888" w:type="dxa"/>
            <w:shd w:val="clear" w:color="auto" w:fill="auto"/>
            <w:vAlign w:val="center"/>
          </w:tcPr>
          <w:p>
            <w:pPr>
              <w:pStyle w:val="145"/>
              <w:rPr>
                <w:rFonts w:ascii="Times New Roman" w:hAnsi="Times New Roman"/>
                <w:color w:val="auto"/>
                <w:sz w:val="24"/>
                <w:szCs w:val="24"/>
                <w:highlight w:val="none"/>
              </w:rPr>
            </w:pPr>
          </w:p>
        </w:tc>
        <w:tc>
          <w:tcPr>
            <w:tcW w:w="2483" w:type="dxa"/>
            <w:gridSpan w:val="5"/>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法定代表人</w:t>
            </w:r>
          </w:p>
        </w:tc>
        <w:tc>
          <w:tcPr>
            <w:tcW w:w="575" w:type="dxa"/>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职务</w:t>
            </w:r>
          </w:p>
        </w:tc>
        <w:tc>
          <w:tcPr>
            <w:tcW w:w="2032"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开户银行</w:t>
            </w:r>
          </w:p>
        </w:tc>
        <w:tc>
          <w:tcPr>
            <w:tcW w:w="888" w:type="dxa"/>
            <w:shd w:val="clear" w:color="auto" w:fill="auto"/>
            <w:vAlign w:val="center"/>
          </w:tcPr>
          <w:p>
            <w:pPr>
              <w:pStyle w:val="145"/>
              <w:rPr>
                <w:rFonts w:ascii="Times New Roman" w:hAnsi="Times New Roman"/>
                <w:color w:val="auto"/>
                <w:sz w:val="24"/>
                <w:szCs w:val="24"/>
                <w:highlight w:val="none"/>
              </w:rPr>
            </w:pPr>
          </w:p>
        </w:tc>
        <w:tc>
          <w:tcPr>
            <w:tcW w:w="2483" w:type="dxa"/>
            <w:gridSpan w:val="5"/>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户名</w:t>
            </w:r>
          </w:p>
        </w:tc>
        <w:tc>
          <w:tcPr>
            <w:tcW w:w="575" w:type="dxa"/>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帐户</w:t>
            </w:r>
          </w:p>
        </w:tc>
        <w:tc>
          <w:tcPr>
            <w:tcW w:w="2032"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主要</w:t>
            </w:r>
            <w:r>
              <w:rPr>
                <w:rFonts w:ascii="Times New Roman" w:hAnsi="Times New Roman"/>
                <w:color w:val="auto"/>
                <w:sz w:val="24"/>
                <w:szCs w:val="24"/>
                <w:highlight w:val="none"/>
              </w:rPr>
              <w:br w:type="textWrapping" w:clear="all"/>
            </w:r>
            <w:r>
              <w:rPr>
                <w:rFonts w:ascii="Times New Roman" w:hAnsi="Times New Roman"/>
                <w:color w:val="auto"/>
                <w:sz w:val="24"/>
                <w:szCs w:val="24"/>
                <w:highlight w:val="none"/>
              </w:rPr>
              <w:t>业务范围</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单位优势</w:t>
            </w:r>
            <w:r>
              <w:rPr>
                <w:rFonts w:ascii="Times New Roman" w:hAnsi="Times New Roman"/>
                <w:color w:val="auto"/>
                <w:sz w:val="24"/>
                <w:szCs w:val="24"/>
                <w:highlight w:val="none"/>
              </w:rPr>
              <w:br w:type="textWrapping" w:clear="all"/>
            </w:r>
            <w:r>
              <w:rPr>
                <w:rFonts w:ascii="Times New Roman" w:hAnsi="Times New Roman"/>
                <w:color w:val="auto"/>
                <w:sz w:val="24"/>
                <w:szCs w:val="24"/>
                <w:highlight w:val="none"/>
              </w:rPr>
              <w:t>及特长</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行业从业年限</w:t>
            </w:r>
          </w:p>
          <w:p>
            <w:pPr>
              <w:pStyle w:val="145"/>
              <w:rPr>
                <w:rFonts w:ascii="Times New Roman" w:hAnsi="Times New Roman"/>
                <w:color w:val="auto"/>
                <w:kern w:val="0"/>
                <w:sz w:val="24"/>
                <w:szCs w:val="24"/>
                <w:highlight w:val="none"/>
              </w:rPr>
            </w:pPr>
            <w:r>
              <w:rPr>
                <w:rFonts w:ascii="Times New Roman" w:hAnsi="Times New Roman"/>
                <w:color w:val="auto"/>
                <w:kern w:val="0"/>
                <w:sz w:val="24"/>
                <w:szCs w:val="24"/>
                <w:highlight w:val="none"/>
              </w:rPr>
              <w:t>相关资质认证等</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经营场所</w:t>
            </w:r>
            <w:r>
              <w:rPr>
                <w:rFonts w:ascii="Times New Roman" w:hAnsi="Times New Roman"/>
                <w:color w:val="auto"/>
                <w:sz w:val="24"/>
                <w:szCs w:val="24"/>
                <w:highlight w:val="none"/>
              </w:rPr>
              <w:br w:type="textWrapping" w:clear="all"/>
            </w:r>
            <w:r>
              <w:rPr>
                <w:rFonts w:ascii="Times New Roman" w:hAnsi="Times New Roman"/>
                <w:color w:val="auto"/>
                <w:sz w:val="24"/>
                <w:szCs w:val="24"/>
                <w:highlight w:val="none"/>
              </w:rPr>
              <w:t>情况说明</w:t>
            </w:r>
          </w:p>
        </w:tc>
        <w:tc>
          <w:tcPr>
            <w:tcW w:w="6732" w:type="dxa"/>
            <w:gridSpan w:val="10"/>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(如经营场所面积、场地设施环境等)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自有设备及</w:t>
            </w:r>
            <w:r>
              <w:rPr>
                <w:rFonts w:ascii="Times New Roman" w:hAnsi="Times New Roman"/>
                <w:color w:val="auto"/>
                <w:sz w:val="24"/>
                <w:szCs w:val="24"/>
                <w:highlight w:val="none"/>
              </w:rPr>
              <w:br w:type="textWrapping" w:clear="all"/>
            </w:r>
            <w:r>
              <w:rPr>
                <w:rFonts w:ascii="Times New Roman" w:hAnsi="Times New Roman"/>
                <w:color w:val="auto"/>
                <w:sz w:val="24"/>
                <w:szCs w:val="24"/>
                <w:highlight w:val="none"/>
              </w:rPr>
              <w:t>软硬件设施情况</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股权结构说明以及与本单位存在直接控股、管理关系的相关单位名单</w:t>
            </w:r>
          </w:p>
        </w:tc>
        <w:tc>
          <w:tcPr>
            <w:tcW w:w="6732" w:type="dxa"/>
            <w:gridSpan w:val="10"/>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vMerge w:val="restart"/>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财务状况(万元)</w:t>
            </w:r>
          </w:p>
        </w:tc>
        <w:tc>
          <w:tcPr>
            <w:tcW w:w="921"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公元</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年</w:t>
            </w:r>
          </w:p>
        </w:tc>
        <w:tc>
          <w:tcPr>
            <w:tcW w:w="712"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收入</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总额</w:t>
            </w:r>
          </w:p>
        </w:tc>
        <w:tc>
          <w:tcPr>
            <w:tcW w:w="849"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利润</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总额</w:t>
            </w:r>
          </w:p>
        </w:tc>
        <w:tc>
          <w:tcPr>
            <w:tcW w:w="710"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税后</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利润</w:t>
            </w:r>
          </w:p>
        </w:tc>
        <w:tc>
          <w:tcPr>
            <w:tcW w:w="754"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负债</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总额</w:t>
            </w:r>
          </w:p>
        </w:tc>
        <w:tc>
          <w:tcPr>
            <w:tcW w:w="75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净</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资产</w:t>
            </w:r>
          </w:p>
        </w:tc>
        <w:tc>
          <w:tcPr>
            <w:tcW w:w="101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固定资产原值</w:t>
            </w:r>
          </w:p>
        </w:tc>
        <w:tc>
          <w:tcPr>
            <w:tcW w:w="1014"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固定资产净值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vMerge w:val="continue"/>
            <w:shd w:val="clear" w:color="auto" w:fill="auto"/>
            <w:vAlign w:val="center"/>
          </w:tcPr>
          <w:p>
            <w:pPr>
              <w:pStyle w:val="145"/>
              <w:rPr>
                <w:rFonts w:ascii="Times New Roman" w:hAnsi="Times New Roman"/>
                <w:color w:val="auto"/>
                <w:sz w:val="24"/>
                <w:szCs w:val="24"/>
                <w:highlight w:val="none"/>
              </w:rPr>
            </w:pPr>
          </w:p>
        </w:tc>
        <w:tc>
          <w:tcPr>
            <w:tcW w:w="921"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201</w:t>
            </w:r>
            <w:r>
              <w:rPr>
                <w:rFonts w:hint="eastAsia" w:ascii="Times New Roman" w:hAnsi="Times New Roman"/>
                <w:color w:val="auto"/>
                <w:sz w:val="24"/>
                <w:szCs w:val="24"/>
                <w:highlight w:val="none"/>
              </w:rPr>
              <w:t>6</w:t>
            </w:r>
            <w:r>
              <w:rPr>
                <w:rFonts w:ascii="Times New Roman" w:hAnsi="Times New Roman"/>
                <w:color w:val="auto"/>
                <w:sz w:val="24"/>
                <w:szCs w:val="24"/>
                <w:highlight w:val="none"/>
              </w:rPr>
              <w:t>年</w:t>
            </w:r>
          </w:p>
        </w:tc>
        <w:tc>
          <w:tcPr>
            <w:tcW w:w="712" w:type="dxa"/>
            <w:shd w:val="clear" w:color="auto" w:fill="auto"/>
            <w:vAlign w:val="center"/>
          </w:tcPr>
          <w:p>
            <w:pPr>
              <w:pStyle w:val="145"/>
              <w:rPr>
                <w:rFonts w:ascii="Times New Roman" w:hAnsi="Times New Roman"/>
                <w:color w:val="auto"/>
                <w:sz w:val="24"/>
                <w:szCs w:val="24"/>
                <w:highlight w:val="none"/>
              </w:rPr>
            </w:pPr>
          </w:p>
        </w:tc>
        <w:tc>
          <w:tcPr>
            <w:tcW w:w="849" w:type="dxa"/>
            <w:shd w:val="clear" w:color="auto" w:fill="auto"/>
            <w:vAlign w:val="center"/>
          </w:tcPr>
          <w:p>
            <w:pPr>
              <w:pStyle w:val="145"/>
              <w:rPr>
                <w:rFonts w:ascii="Times New Roman" w:hAnsi="Times New Roman"/>
                <w:color w:val="auto"/>
                <w:sz w:val="24"/>
                <w:szCs w:val="24"/>
                <w:highlight w:val="none"/>
              </w:rPr>
            </w:pPr>
          </w:p>
        </w:tc>
        <w:tc>
          <w:tcPr>
            <w:tcW w:w="710" w:type="dxa"/>
            <w:shd w:val="clear" w:color="auto" w:fill="auto"/>
            <w:vAlign w:val="center"/>
          </w:tcPr>
          <w:p>
            <w:pPr>
              <w:pStyle w:val="145"/>
              <w:rPr>
                <w:rFonts w:ascii="Times New Roman" w:hAnsi="Times New Roman"/>
                <w:color w:val="auto"/>
                <w:sz w:val="24"/>
                <w:szCs w:val="24"/>
                <w:highlight w:val="none"/>
              </w:rPr>
            </w:pPr>
          </w:p>
        </w:tc>
        <w:tc>
          <w:tcPr>
            <w:tcW w:w="754" w:type="dxa"/>
            <w:gridSpan w:val="2"/>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p>
        </w:tc>
        <w:tc>
          <w:tcPr>
            <w:tcW w:w="1018" w:type="dxa"/>
            <w:shd w:val="clear" w:color="auto" w:fill="auto"/>
            <w:vAlign w:val="center"/>
          </w:tcPr>
          <w:p>
            <w:pPr>
              <w:pStyle w:val="145"/>
              <w:rPr>
                <w:rFonts w:ascii="Times New Roman" w:hAnsi="Times New Roman"/>
                <w:color w:val="auto"/>
                <w:sz w:val="24"/>
                <w:szCs w:val="24"/>
                <w:highlight w:val="none"/>
              </w:rPr>
            </w:pPr>
          </w:p>
        </w:tc>
        <w:tc>
          <w:tcPr>
            <w:tcW w:w="1014" w:type="dxa"/>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vMerge w:val="continue"/>
            <w:shd w:val="clear" w:color="auto" w:fill="auto"/>
            <w:vAlign w:val="center"/>
          </w:tcPr>
          <w:p>
            <w:pPr>
              <w:pStyle w:val="145"/>
              <w:rPr>
                <w:rFonts w:ascii="Times New Roman" w:hAnsi="Times New Roman"/>
                <w:color w:val="auto"/>
                <w:sz w:val="24"/>
                <w:szCs w:val="24"/>
                <w:highlight w:val="none"/>
              </w:rPr>
            </w:pPr>
          </w:p>
        </w:tc>
        <w:tc>
          <w:tcPr>
            <w:tcW w:w="921"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201</w:t>
            </w:r>
            <w:r>
              <w:rPr>
                <w:rFonts w:hint="eastAsia" w:ascii="Times New Roman" w:hAnsi="Times New Roman"/>
                <w:color w:val="auto"/>
                <w:sz w:val="24"/>
                <w:szCs w:val="24"/>
                <w:highlight w:val="none"/>
              </w:rPr>
              <w:t>7</w:t>
            </w:r>
            <w:r>
              <w:rPr>
                <w:rFonts w:ascii="Times New Roman" w:hAnsi="Times New Roman"/>
                <w:color w:val="auto"/>
                <w:sz w:val="24"/>
                <w:szCs w:val="24"/>
                <w:highlight w:val="none"/>
              </w:rPr>
              <w:t>年</w:t>
            </w:r>
          </w:p>
        </w:tc>
        <w:tc>
          <w:tcPr>
            <w:tcW w:w="712" w:type="dxa"/>
            <w:shd w:val="clear" w:color="auto" w:fill="auto"/>
            <w:vAlign w:val="center"/>
          </w:tcPr>
          <w:p>
            <w:pPr>
              <w:pStyle w:val="145"/>
              <w:rPr>
                <w:rFonts w:ascii="Times New Roman" w:hAnsi="Times New Roman"/>
                <w:color w:val="auto"/>
                <w:sz w:val="24"/>
                <w:szCs w:val="24"/>
                <w:highlight w:val="none"/>
              </w:rPr>
            </w:pPr>
          </w:p>
        </w:tc>
        <w:tc>
          <w:tcPr>
            <w:tcW w:w="849" w:type="dxa"/>
            <w:shd w:val="clear" w:color="auto" w:fill="auto"/>
            <w:vAlign w:val="center"/>
          </w:tcPr>
          <w:p>
            <w:pPr>
              <w:pStyle w:val="145"/>
              <w:rPr>
                <w:rFonts w:ascii="Times New Roman" w:hAnsi="Times New Roman"/>
                <w:color w:val="auto"/>
                <w:sz w:val="24"/>
                <w:szCs w:val="24"/>
                <w:highlight w:val="none"/>
              </w:rPr>
            </w:pPr>
          </w:p>
        </w:tc>
        <w:tc>
          <w:tcPr>
            <w:tcW w:w="710" w:type="dxa"/>
            <w:shd w:val="clear" w:color="auto" w:fill="auto"/>
            <w:vAlign w:val="center"/>
          </w:tcPr>
          <w:p>
            <w:pPr>
              <w:pStyle w:val="145"/>
              <w:rPr>
                <w:rFonts w:ascii="Times New Roman" w:hAnsi="Times New Roman"/>
                <w:color w:val="auto"/>
                <w:sz w:val="24"/>
                <w:szCs w:val="24"/>
                <w:highlight w:val="none"/>
              </w:rPr>
            </w:pPr>
          </w:p>
        </w:tc>
        <w:tc>
          <w:tcPr>
            <w:tcW w:w="754" w:type="dxa"/>
            <w:gridSpan w:val="2"/>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p>
        </w:tc>
        <w:tc>
          <w:tcPr>
            <w:tcW w:w="1018" w:type="dxa"/>
            <w:shd w:val="clear" w:color="auto" w:fill="auto"/>
            <w:vAlign w:val="center"/>
          </w:tcPr>
          <w:p>
            <w:pPr>
              <w:pStyle w:val="145"/>
              <w:rPr>
                <w:rFonts w:ascii="Times New Roman" w:hAnsi="Times New Roman"/>
                <w:color w:val="auto"/>
                <w:sz w:val="24"/>
                <w:szCs w:val="24"/>
                <w:highlight w:val="none"/>
              </w:rPr>
            </w:pPr>
          </w:p>
        </w:tc>
        <w:tc>
          <w:tcPr>
            <w:tcW w:w="1014" w:type="dxa"/>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340" w:hRule="atLeast"/>
        </w:trPr>
        <w:tc>
          <w:tcPr>
            <w:tcW w:w="2228" w:type="dxa"/>
            <w:vMerge w:val="continue"/>
            <w:shd w:val="clear" w:color="auto" w:fill="auto"/>
            <w:vAlign w:val="center"/>
          </w:tcPr>
          <w:p>
            <w:pPr>
              <w:pStyle w:val="145"/>
              <w:rPr>
                <w:rFonts w:ascii="Times New Roman" w:hAnsi="Times New Roman"/>
                <w:color w:val="auto"/>
                <w:sz w:val="24"/>
                <w:szCs w:val="24"/>
                <w:highlight w:val="none"/>
              </w:rPr>
            </w:pPr>
          </w:p>
        </w:tc>
        <w:tc>
          <w:tcPr>
            <w:tcW w:w="921"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201</w:t>
            </w:r>
            <w:r>
              <w:rPr>
                <w:rFonts w:hint="eastAsia" w:ascii="Times New Roman" w:hAnsi="Times New Roman"/>
                <w:color w:val="auto"/>
                <w:sz w:val="24"/>
                <w:szCs w:val="24"/>
                <w:highlight w:val="none"/>
              </w:rPr>
              <w:t>8</w:t>
            </w:r>
            <w:r>
              <w:rPr>
                <w:rFonts w:ascii="Times New Roman" w:hAnsi="Times New Roman"/>
                <w:color w:val="auto"/>
                <w:sz w:val="24"/>
                <w:szCs w:val="24"/>
                <w:highlight w:val="none"/>
              </w:rPr>
              <w:t>年</w:t>
            </w:r>
          </w:p>
        </w:tc>
        <w:tc>
          <w:tcPr>
            <w:tcW w:w="712" w:type="dxa"/>
            <w:shd w:val="clear" w:color="auto" w:fill="auto"/>
            <w:vAlign w:val="center"/>
          </w:tcPr>
          <w:p>
            <w:pPr>
              <w:pStyle w:val="145"/>
              <w:rPr>
                <w:rFonts w:ascii="Times New Roman" w:hAnsi="Times New Roman"/>
                <w:color w:val="auto"/>
                <w:sz w:val="24"/>
                <w:szCs w:val="24"/>
                <w:highlight w:val="none"/>
              </w:rPr>
            </w:pPr>
          </w:p>
        </w:tc>
        <w:tc>
          <w:tcPr>
            <w:tcW w:w="849" w:type="dxa"/>
            <w:shd w:val="clear" w:color="auto" w:fill="auto"/>
            <w:vAlign w:val="center"/>
          </w:tcPr>
          <w:p>
            <w:pPr>
              <w:pStyle w:val="145"/>
              <w:rPr>
                <w:rFonts w:ascii="Times New Roman" w:hAnsi="Times New Roman"/>
                <w:color w:val="auto"/>
                <w:sz w:val="24"/>
                <w:szCs w:val="24"/>
                <w:highlight w:val="none"/>
              </w:rPr>
            </w:pPr>
          </w:p>
        </w:tc>
        <w:tc>
          <w:tcPr>
            <w:tcW w:w="710" w:type="dxa"/>
            <w:shd w:val="clear" w:color="auto" w:fill="auto"/>
            <w:vAlign w:val="center"/>
          </w:tcPr>
          <w:p>
            <w:pPr>
              <w:pStyle w:val="145"/>
              <w:rPr>
                <w:rFonts w:ascii="Times New Roman" w:hAnsi="Times New Roman"/>
                <w:color w:val="auto"/>
                <w:sz w:val="24"/>
                <w:szCs w:val="24"/>
                <w:highlight w:val="none"/>
              </w:rPr>
            </w:pPr>
          </w:p>
        </w:tc>
        <w:tc>
          <w:tcPr>
            <w:tcW w:w="754" w:type="dxa"/>
            <w:gridSpan w:val="2"/>
            <w:shd w:val="clear" w:color="auto" w:fill="auto"/>
            <w:vAlign w:val="center"/>
          </w:tcPr>
          <w:p>
            <w:pPr>
              <w:pStyle w:val="145"/>
              <w:rPr>
                <w:rFonts w:ascii="Times New Roman" w:hAnsi="Times New Roman"/>
                <w:color w:val="auto"/>
                <w:sz w:val="24"/>
                <w:szCs w:val="24"/>
                <w:highlight w:val="none"/>
              </w:rPr>
            </w:pPr>
          </w:p>
        </w:tc>
        <w:tc>
          <w:tcPr>
            <w:tcW w:w="754" w:type="dxa"/>
            <w:shd w:val="clear" w:color="auto" w:fill="auto"/>
            <w:vAlign w:val="center"/>
          </w:tcPr>
          <w:p>
            <w:pPr>
              <w:pStyle w:val="145"/>
              <w:rPr>
                <w:rFonts w:ascii="Times New Roman" w:hAnsi="Times New Roman"/>
                <w:color w:val="auto"/>
                <w:sz w:val="24"/>
                <w:szCs w:val="24"/>
                <w:highlight w:val="none"/>
              </w:rPr>
            </w:pPr>
          </w:p>
        </w:tc>
        <w:tc>
          <w:tcPr>
            <w:tcW w:w="1018" w:type="dxa"/>
            <w:shd w:val="clear" w:color="auto" w:fill="auto"/>
            <w:vAlign w:val="center"/>
          </w:tcPr>
          <w:p>
            <w:pPr>
              <w:pStyle w:val="145"/>
              <w:rPr>
                <w:rFonts w:ascii="Times New Roman" w:hAnsi="Times New Roman"/>
                <w:color w:val="auto"/>
                <w:sz w:val="24"/>
                <w:szCs w:val="24"/>
                <w:highlight w:val="none"/>
              </w:rPr>
            </w:pPr>
          </w:p>
        </w:tc>
        <w:tc>
          <w:tcPr>
            <w:tcW w:w="1014" w:type="dxa"/>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2413" w:hRule="atLeast"/>
        </w:trPr>
        <w:tc>
          <w:tcPr>
            <w:tcW w:w="2228"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单位组织机构简介</w:t>
            </w:r>
          </w:p>
        </w:tc>
        <w:tc>
          <w:tcPr>
            <w:tcW w:w="6732" w:type="dxa"/>
            <w:gridSpan w:val="10"/>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（部室划分、各部室人数、员工总数、项目经理、技术负责人等项目管理人员总数、高级职称技术管理人员总数、中级职称技术管理人员总数、技术工种人员总数等数量以及所占比例）</w:t>
            </w:r>
          </w:p>
        </w:tc>
      </w:tr>
    </w:tbl>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注：供应商可随本表提供</w:t>
      </w:r>
      <w:r>
        <w:rPr>
          <w:rFonts w:hint="eastAsia" w:ascii="Times New Roman" w:hAnsi="Times New Roman"/>
          <w:color w:val="auto"/>
          <w:sz w:val="24"/>
          <w:szCs w:val="24"/>
          <w:highlight w:val="none"/>
        </w:rPr>
        <w:t>营业执照、</w:t>
      </w:r>
      <w:r>
        <w:rPr>
          <w:rFonts w:ascii="Times New Roman" w:hAnsi="Times New Roman"/>
          <w:color w:val="auto"/>
          <w:sz w:val="24"/>
          <w:szCs w:val="24"/>
          <w:highlight w:val="none"/>
        </w:rPr>
        <w:t>企业简介。</w:t>
      </w:r>
    </w:p>
    <w:p>
      <w:pPr>
        <w:spacing w:line="240" w:lineRule="auto"/>
        <w:rPr>
          <w:color w:val="auto"/>
          <w:szCs w:val="24"/>
          <w:highlight w:val="none"/>
        </w:rPr>
      </w:pPr>
      <w:r>
        <w:rPr>
          <w:color w:val="auto"/>
          <w:szCs w:val="24"/>
          <w:highlight w:val="none"/>
        </w:rPr>
        <w:t>供应商授权代表（签字）：_______________________</w:t>
      </w:r>
    </w:p>
    <w:p>
      <w:pPr>
        <w:spacing w:line="240" w:lineRule="auto"/>
        <w:rPr>
          <w:color w:val="auto"/>
          <w:szCs w:val="24"/>
          <w:highlight w:val="none"/>
        </w:rPr>
      </w:pPr>
      <w:r>
        <w:rPr>
          <w:color w:val="auto"/>
          <w:szCs w:val="24"/>
          <w:highlight w:val="none"/>
        </w:rPr>
        <w:t>供应商名称（加盖公章）：_______________________</w:t>
      </w:r>
    </w:p>
    <w:p>
      <w:pPr>
        <w:widowControl/>
        <w:adjustRightInd/>
        <w:spacing w:line="240" w:lineRule="auto"/>
        <w:ind w:firstLine="0" w:firstLineChars="0"/>
        <w:textAlignment w:val="auto"/>
        <w:rPr>
          <w:b/>
          <w:bCs/>
          <w:color w:val="auto"/>
          <w:szCs w:val="24"/>
          <w:highlight w:val="none"/>
        </w:rPr>
      </w:pPr>
      <w:r>
        <w:rPr>
          <w:color w:val="auto"/>
          <w:highlight w:val="none"/>
        </w:rPr>
        <w:br w:type="page"/>
      </w:r>
    </w:p>
    <w:p>
      <w:pPr>
        <w:pStyle w:val="4"/>
        <w:tabs>
          <w:tab w:val="center" w:pos="4535"/>
        </w:tabs>
        <w:rPr>
          <w:rFonts w:ascii="Times New Roman" w:hAnsi="Times New Roman"/>
          <w:color w:val="auto"/>
          <w:highlight w:val="none"/>
        </w:rPr>
      </w:pPr>
      <w:bookmarkStart w:id="1046" w:name="_Toc443397275"/>
      <w:bookmarkStart w:id="1047" w:name="_Toc428444064"/>
      <w:bookmarkStart w:id="1048" w:name="_Toc372275508"/>
      <w:bookmarkStart w:id="1049" w:name="_Toc432430526"/>
      <w:bookmarkStart w:id="1050" w:name="_Toc453622082"/>
      <w:bookmarkStart w:id="1051" w:name="_Toc462069447"/>
      <w:bookmarkStart w:id="1052" w:name="_Toc462066513"/>
      <w:r>
        <w:rPr>
          <w:rFonts w:ascii="Times New Roman" w:hAnsi="Times New Roman"/>
          <w:color w:val="auto"/>
          <w:highlight w:val="none"/>
        </w:rPr>
        <w:tab/>
      </w:r>
    </w:p>
    <w:p>
      <w:pPr>
        <w:pStyle w:val="4"/>
        <w:rPr>
          <w:rFonts w:ascii="Times New Roman" w:hAnsi="Times New Roman"/>
          <w:color w:val="auto"/>
          <w:highlight w:val="none"/>
        </w:rPr>
      </w:pPr>
      <w:bookmarkStart w:id="1053" w:name="_Toc518557374"/>
      <w:r>
        <w:rPr>
          <w:rFonts w:ascii="Times New Roman" w:hAnsi="Times New Roman"/>
          <w:color w:val="auto"/>
          <w:highlight w:val="none"/>
        </w:rPr>
        <w:t>附件</w:t>
      </w:r>
      <w:r>
        <w:rPr>
          <w:rFonts w:hint="eastAsia" w:ascii="Times New Roman" w:hAnsi="Times New Roman"/>
          <w:color w:val="auto"/>
          <w:highlight w:val="none"/>
        </w:rPr>
        <w:t xml:space="preserve">6 </w:t>
      </w:r>
      <w:r>
        <w:rPr>
          <w:rFonts w:ascii="Times New Roman" w:hAnsi="Times New Roman"/>
          <w:color w:val="auto"/>
          <w:highlight w:val="none"/>
        </w:rPr>
        <w:t>供应商类似项目业绩</w:t>
      </w:r>
      <w:bookmarkEnd w:id="1046"/>
      <w:bookmarkEnd w:id="1047"/>
      <w:bookmarkEnd w:id="1048"/>
      <w:bookmarkEnd w:id="1049"/>
      <w:r>
        <w:rPr>
          <w:rFonts w:ascii="Times New Roman" w:hAnsi="Times New Roman"/>
          <w:color w:val="auto"/>
          <w:highlight w:val="none"/>
        </w:rPr>
        <w:t>清单</w:t>
      </w:r>
      <w:bookmarkEnd w:id="1050"/>
      <w:bookmarkEnd w:id="1051"/>
      <w:bookmarkEnd w:id="1052"/>
      <w:bookmarkEnd w:id="1053"/>
    </w:p>
    <w:p>
      <w:pPr>
        <w:pStyle w:val="155"/>
        <w:rPr>
          <w:rFonts w:ascii="Times New Roman" w:hAnsi="Times New Roman"/>
          <w:color w:val="auto"/>
          <w:highlight w:val="none"/>
        </w:rPr>
      </w:pPr>
      <w:r>
        <w:rPr>
          <w:rFonts w:ascii="Times New Roman" w:hAnsi="Times New Roman"/>
          <w:color w:val="auto"/>
          <w:highlight w:val="none"/>
        </w:rPr>
        <w:t>供应商类似项目业绩清单</w:t>
      </w:r>
    </w:p>
    <w:tbl>
      <w:tblPr>
        <w:tblStyle w:val="47"/>
        <w:tblW w:w="9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930"/>
        <w:gridCol w:w="1544"/>
        <w:gridCol w:w="1236"/>
        <w:gridCol w:w="930"/>
        <w:gridCol w:w="2004"/>
        <w:gridCol w:w="1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30" w:type="dxa"/>
            <w:tcBorders>
              <w:bottom w:val="single" w:color="auto" w:sz="4" w:space="0"/>
            </w:tcBorders>
            <w:vAlign w:val="center"/>
          </w:tcPr>
          <w:p>
            <w:pPr>
              <w:pStyle w:val="145"/>
              <w:jc w:val="center"/>
              <w:rPr>
                <w:color w:val="auto"/>
                <w:highlight w:val="none"/>
              </w:rPr>
            </w:pPr>
            <w:r>
              <w:rPr>
                <w:color w:val="auto"/>
                <w:highlight w:val="none"/>
              </w:rPr>
              <w:t>编号</w:t>
            </w:r>
          </w:p>
        </w:tc>
        <w:tc>
          <w:tcPr>
            <w:tcW w:w="930" w:type="dxa"/>
            <w:tcBorders>
              <w:bottom w:val="single" w:color="auto" w:sz="4" w:space="0"/>
            </w:tcBorders>
            <w:vAlign w:val="center"/>
          </w:tcPr>
          <w:p>
            <w:pPr>
              <w:pStyle w:val="145"/>
              <w:jc w:val="center"/>
              <w:rPr>
                <w:color w:val="auto"/>
                <w:highlight w:val="none"/>
              </w:rPr>
            </w:pPr>
            <w:r>
              <w:rPr>
                <w:color w:val="auto"/>
                <w:highlight w:val="none"/>
              </w:rPr>
              <w:t>项目</w:t>
            </w:r>
          </w:p>
          <w:p>
            <w:pPr>
              <w:pStyle w:val="145"/>
              <w:jc w:val="center"/>
              <w:rPr>
                <w:color w:val="auto"/>
                <w:highlight w:val="none"/>
              </w:rPr>
            </w:pPr>
            <w:r>
              <w:rPr>
                <w:color w:val="auto"/>
                <w:highlight w:val="none"/>
              </w:rPr>
              <w:t>名称</w:t>
            </w:r>
          </w:p>
        </w:tc>
        <w:tc>
          <w:tcPr>
            <w:tcW w:w="1544" w:type="dxa"/>
            <w:tcBorders>
              <w:bottom w:val="single" w:color="auto" w:sz="4" w:space="0"/>
            </w:tcBorders>
            <w:vAlign w:val="center"/>
          </w:tcPr>
          <w:p>
            <w:pPr>
              <w:pStyle w:val="145"/>
              <w:jc w:val="center"/>
              <w:rPr>
                <w:color w:val="auto"/>
                <w:highlight w:val="none"/>
              </w:rPr>
            </w:pPr>
            <w:r>
              <w:rPr>
                <w:color w:val="auto"/>
                <w:highlight w:val="none"/>
              </w:rPr>
              <w:t>业绩文件</w:t>
            </w:r>
          </w:p>
          <w:p>
            <w:pPr>
              <w:pStyle w:val="145"/>
              <w:jc w:val="center"/>
              <w:rPr>
                <w:color w:val="auto"/>
                <w:highlight w:val="none"/>
              </w:rPr>
            </w:pPr>
            <w:r>
              <w:rPr>
                <w:color w:val="auto"/>
                <w:highlight w:val="none"/>
              </w:rPr>
              <w:t>签订时间</w:t>
            </w:r>
          </w:p>
        </w:tc>
        <w:tc>
          <w:tcPr>
            <w:tcW w:w="1236" w:type="dxa"/>
            <w:tcBorders>
              <w:bottom w:val="single" w:color="auto" w:sz="4" w:space="0"/>
            </w:tcBorders>
            <w:vAlign w:val="center"/>
          </w:tcPr>
          <w:p>
            <w:pPr>
              <w:pStyle w:val="145"/>
              <w:jc w:val="center"/>
              <w:rPr>
                <w:color w:val="auto"/>
                <w:highlight w:val="none"/>
              </w:rPr>
            </w:pPr>
            <w:r>
              <w:rPr>
                <w:color w:val="auto"/>
                <w:highlight w:val="none"/>
              </w:rPr>
              <w:t>金额</w:t>
            </w:r>
          </w:p>
          <w:p>
            <w:pPr>
              <w:pStyle w:val="145"/>
              <w:jc w:val="center"/>
              <w:rPr>
                <w:color w:val="auto"/>
                <w:highlight w:val="none"/>
              </w:rPr>
            </w:pPr>
            <w:r>
              <w:rPr>
                <w:color w:val="auto"/>
                <w:highlight w:val="none"/>
              </w:rPr>
              <w:t>（元）</w:t>
            </w:r>
          </w:p>
        </w:tc>
        <w:tc>
          <w:tcPr>
            <w:tcW w:w="930" w:type="dxa"/>
            <w:tcBorders>
              <w:bottom w:val="single" w:color="auto" w:sz="4" w:space="0"/>
            </w:tcBorders>
            <w:vAlign w:val="center"/>
          </w:tcPr>
          <w:p>
            <w:pPr>
              <w:pStyle w:val="145"/>
              <w:jc w:val="center"/>
              <w:rPr>
                <w:color w:val="auto"/>
                <w:highlight w:val="none"/>
              </w:rPr>
            </w:pPr>
            <w:r>
              <w:rPr>
                <w:color w:val="auto"/>
                <w:highlight w:val="none"/>
              </w:rPr>
              <w:t>项目</w:t>
            </w:r>
          </w:p>
          <w:p>
            <w:pPr>
              <w:pStyle w:val="145"/>
              <w:jc w:val="center"/>
              <w:rPr>
                <w:color w:val="auto"/>
                <w:highlight w:val="none"/>
              </w:rPr>
            </w:pPr>
            <w:r>
              <w:rPr>
                <w:color w:val="auto"/>
                <w:highlight w:val="none"/>
              </w:rPr>
              <w:t>单位</w:t>
            </w:r>
          </w:p>
        </w:tc>
        <w:tc>
          <w:tcPr>
            <w:tcW w:w="2004" w:type="dxa"/>
            <w:tcBorders>
              <w:bottom w:val="single" w:color="auto" w:sz="4" w:space="0"/>
            </w:tcBorders>
            <w:vAlign w:val="center"/>
          </w:tcPr>
          <w:p>
            <w:pPr>
              <w:pStyle w:val="145"/>
              <w:jc w:val="center"/>
              <w:rPr>
                <w:color w:val="auto"/>
                <w:highlight w:val="none"/>
              </w:rPr>
            </w:pPr>
            <w:r>
              <w:rPr>
                <w:color w:val="auto"/>
                <w:highlight w:val="none"/>
              </w:rPr>
              <w:t>项目单位</w:t>
            </w:r>
          </w:p>
          <w:p>
            <w:pPr>
              <w:pStyle w:val="145"/>
              <w:jc w:val="center"/>
              <w:rPr>
                <w:color w:val="auto"/>
                <w:highlight w:val="none"/>
              </w:rPr>
            </w:pPr>
            <w:r>
              <w:rPr>
                <w:color w:val="auto"/>
                <w:highlight w:val="none"/>
              </w:rPr>
              <w:t>联系人/电话</w:t>
            </w:r>
          </w:p>
        </w:tc>
        <w:tc>
          <w:tcPr>
            <w:tcW w:w="1542" w:type="dxa"/>
            <w:tcBorders>
              <w:bottom w:val="single" w:color="auto" w:sz="4" w:space="0"/>
            </w:tcBorders>
            <w:vAlign w:val="center"/>
          </w:tcPr>
          <w:p>
            <w:pPr>
              <w:pStyle w:val="145"/>
              <w:jc w:val="center"/>
              <w:rPr>
                <w:color w:val="auto"/>
                <w:highlight w:val="none"/>
              </w:rPr>
            </w:pPr>
            <w:r>
              <w:rPr>
                <w:color w:val="auto"/>
                <w:highlight w:val="none"/>
              </w:rPr>
              <w:t>项目内容</w:t>
            </w:r>
          </w:p>
          <w:p>
            <w:pPr>
              <w:pStyle w:val="145"/>
              <w:jc w:val="center"/>
              <w:rPr>
                <w:color w:val="auto"/>
                <w:highlight w:val="none"/>
              </w:rPr>
            </w:pPr>
            <w:r>
              <w:rPr>
                <w:color w:val="auto"/>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30" w:type="dxa"/>
            <w:vAlign w:val="center"/>
          </w:tcPr>
          <w:p>
            <w:pPr>
              <w:pStyle w:val="145"/>
              <w:jc w:val="center"/>
              <w:rPr>
                <w:color w:val="auto"/>
                <w:highlight w:val="none"/>
              </w:rPr>
            </w:pPr>
            <w:r>
              <w:rPr>
                <w:color w:val="auto"/>
                <w:highlight w:val="none"/>
              </w:rPr>
              <w:t>1</w:t>
            </w:r>
          </w:p>
        </w:tc>
        <w:tc>
          <w:tcPr>
            <w:tcW w:w="930" w:type="dxa"/>
            <w:vAlign w:val="center"/>
          </w:tcPr>
          <w:p>
            <w:pPr>
              <w:pStyle w:val="145"/>
              <w:jc w:val="center"/>
              <w:rPr>
                <w:color w:val="auto"/>
                <w:highlight w:val="none"/>
              </w:rPr>
            </w:pPr>
          </w:p>
        </w:tc>
        <w:tc>
          <w:tcPr>
            <w:tcW w:w="1544" w:type="dxa"/>
            <w:vAlign w:val="center"/>
          </w:tcPr>
          <w:p>
            <w:pPr>
              <w:pStyle w:val="145"/>
              <w:jc w:val="center"/>
              <w:rPr>
                <w:color w:val="auto"/>
                <w:highlight w:val="none"/>
              </w:rPr>
            </w:pPr>
          </w:p>
        </w:tc>
        <w:tc>
          <w:tcPr>
            <w:tcW w:w="1236" w:type="dxa"/>
            <w:vAlign w:val="center"/>
          </w:tcPr>
          <w:p>
            <w:pPr>
              <w:pStyle w:val="145"/>
              <w:jc w:val="center"/>
              <w:rPr>
                <w:color w:val="auto"/>
                <w:highlight w:val="none"/>
              </w:rPr>
            </w:pPr>
          </w:p>
        </w:tc>
        <w:tc>
          <w:tcPr>
            <w:tcW w:w="930" w:type="dxa"/>
            <w:vAlign w:val="center"/>
          </w:tcPr>
          <w:p>
            <w:pPr>
              <w:pStyle w:val="145"/>
              <w:jc w:val="center"/>
              <w:rPr>
                <w:color w:val="auto"/>
                <w:highlight w:val="none"/>
              </w:rPr>
            </w:pPr>
          </w:p>
        </w:tc>
        <w:tc>
          <w:tcPr>
            <w:tcW w:w="2004" w:type="dxa"/>
            <w:vAlign w:val="center"/>
          </w:tcPr>
          <w:p>
            <w:pPr>
              <w:pStyle w:val="145"/>
              <w:jc w:val="center"/>
              <w:rPr>
                <w:color w:val="auto"/>
                <w:highlight w:val="none"/>
              </w:rPr>
            </w:pPr>
          </w:p>
        </w:tc>
        <w:tc>
          <w:tcPr>
            <w:tcW w:w="1542" w:type="dxa"/>
            <w:vAlign w:val="center"/>
          </w:tcPr>
          <w:p>
            <w:pPr>
              <w:pStyle w:val="145"/>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30" w:type="dxa"/>
            <w:vAlign w:val="center"/>
          </w:tcPr>
          <w:p>
            <w:pPr>
              <w:pStyle w:val="145"/>
              <w:jc w:val="center"/>
              <w:rPr>
                <w:color w:val="auto"/>
                <w:highlight w:val="none"/>
              </w:rPr>
            </w:pPr>
            <w:r>
              <w:rPr>
                <w:color w:val="auto"/>
                <w:highlight w:val="none"/>
              </w:rPr>
              <w:t>2</w:t>
            </w:r>
          </w:p>
        </w:tc>
        <w:tc>
          <w:tcPr>
            <w:tcW w:w="930" w:type="dxa"/>
            <w:vAlign w:val="center"/>
          </w:tcPr>
          <w:p>
            <w:pPr>
              <w:pStyle w:val="145"/>
              <w:jc w:val="center"/>
              <w:rPr>
                <w:color w:val="auto"/>
                <w:highlight w:val="none"/>
              </w:rPr>
            </w:pPr>
          </w:p>
        </w:tc>
        <w:tc>
          <w:tcPr>
            <w:tcW w:w="1544" w:type="dxa"/>
            <w:vAlign w:val="center"/>
          </w:tcPr>
          <w:p>
            <w:pPr>
              <w:pStyle w:val="145"/>
              <w:jc w:val="center"/>
              <w:rPr>
                <w:color w:val="auto"/>
                <w:highlight w:val="none"/>
              </w:rPr>
            </w:pPr>
          </w:p>
        </w:tc>
        <w:tc>
          <w:tcPr>
            <w:tcW w:w="1236" w:type="dxa"/>
            <w:vAlign w:val="center"/>
          </w:tcPr>
          <w:p>
            <w:pPr>
              <w:pStyle w:val="145"/>
              <w:jc w:val="center"/>
              <w:rPr>
                <w:color w:val="auto"/>
                <w:highlight w:val="none"/>
              </w:rPr>
            </w:pPr>
          </w:p>
        </w:tc>
        <w:tc>
          <w:tcPr>
            <w:tcW w:w="930" w:type="dxa"/>
            <w:vAlign w:val="center"/>
          </w:tcPr>
          <w:p>
            <w:pPr>
              <w:pStyle w:val="145"/>
              <w:jc w:val="center"/>
              <w:rPr>
                <w:color w:val="auto"/>
                <w:highlight w:val="none"/>
              </w:rPr>
            </w:pPr>
          </w:p>
        </w:tc>
        <w:tc>
          <w:tcPr>
            <w:tcW w:w="2004" w:type="dxa"/>
            <w:vAlign w:val="center"/>
          </w:tcPr>
          <w:p>
            <w:pPr>
              <w:pStyle w:val="145"/>
              <w:jc w:val="center"/>
              <w:rPr>
                <w:color w:val="auto"/>
                <w:highlight w:val="none"/>
              </w:rPr>
            </w:pPr>
          </w:p>
        </w:tc>
        <w:tc>
          <w:tcPr>
            <w:tcW w:w="1542" w:type="dxa"/>
            <w:vAlign w:val="center"/>
          </w:tcPr>
          <w:p>
            <w:pPr>
              <w:pStyle w:val="145"/>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30" w:type="dxa"/>
            <w:vAlign w:val="center"/>
          </w:tcPr>
          <w:p>
            <w:pPr>
              <w:pStyle w:val="145"/>
              <w:jc w:val="center"/>
              <w:rPr>
                <w:color w:val="auto"/>
                <w:highlight w:val="none"/>
              </w:rPr>
            </w:pPr>
            <w:r>
              <w:rPr>
                <w:color w:val="auto"/>
                <w:highlight w:val="none"/>
              </w:rPr>
              <w:t>…</w:t>
            </w:r>
          </w:p>
        </w:tc>
        <w:tc>
          <w:tcPr>
            <w:tcW w:w="930" w:type="dxa"/>
            <w:vAlign w:val="center"/>
          </w:tcPr>
          <w:p>
            <w:pPr>
              <w:pStyle w:val="145"/>
              <w:jc w:val="center"/>
              <w:rPr>
                <w:color w:val="auto"/>
                <w:highlight w:val="none"/>
              </w:rPr>
            </w:pPr>
          </w:p>
        </w:tc>
        <w:tc>
          <w:tcPr>
            <w:tcW w:w="1544" w:type="dxa"/>
            <w:vAlign w:val="center"/>
          </w:tcPr>
          <w:p>
            <w:pPr>
              <w:pStyle w:val="145"/>
              <w:jc w:val="center"/>
              <w:rPr>
                <w:color w:val="auto"/>
                <w:highlight w:val="none"/>
              </w:rPr>
            </w:pPr>
          </w:p>
        </w:tc>
        <w:tc>
          <w:tcPr>
            <w:tcW w:w="1236" w:type="dxa"/>
            <w:vAlign w:val="center"/>
          </w:tcPr>
          <w:p>
            <w:pPr>
              <w:pStyle w:val="145"/>
              <w:jc w:val="center"/>
              <w:rPr>
                <w:color w:val="auto"/>
                <w:highlight w:val="none"/>
              </w:rPr>
            </w:pPr>
          </w:p>
        </w:tc>
        <w:tc>
          <w:tcPr>
            <w:tcW w:w="930" w:type="dxa"/>
            <w:vAlign w:val="center"/>
          </w:tcPr>
          <w:p>
            <w:pPr>
              <w:pStyle w:val="145"/>
              <w:jc w:val="center"/>
              <w:rPr>
                <w:color w:val="auto"/>
                <w:highlight w:val="none"/>
              </w:rPr>
            </w:pPr>
          </w:p>
        </w:tc>
        <w:tc>
          <w:tcPr>
            <w:tcW w:w="2004" w:type="dxa"/>
            <w:vAlign w:val="center"/>
          </w:tcPr>
          <w:p>
            <w:pPr>
              <w:pStyle w:val="145"/>
              <w:jc w:val="center"/>
              <w:rPr>
                <w:color w:val="auto"/>
                <w:highlight w:val="none"/>
              </w:rPr>
            </w:pPr>
          </w:p>
        </w:tc>
        <w:tc>
          <w:tcPr>
            <w:tcW w:w="1542" w:type="dxa"/>
            <w:vAlign w:val="center"/>
          </w:tcPr>
          <w:p>
            <w:pPr>
              <w:pStyle w:val="145"/>
              <w:jc w:val="center"/>
              <w:rPr>
                <w:color w:val="auto"/>
                <w:highlight w:val="none"/>
              </w:rPr>
            </w:pPr>
          </w:p>
        </w:tc>
      </w:tr>
    </w:tbl>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注：1）同类项目业绩的认定标准及有效业绩证明文件的要求见评审办法。</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2）供应商须随本表附有效业绩证明文件的复印件，须内容清晰。供应商须将提供的有效证明文件按本表形式进行编号并按编号顺序装订提交。未提供有效证明文件或不满足要求的项目业绩在评审时将不予认可。</w:t>
      </w:r>
    </w:p>
    <w:p>
      <w:pPr>
        <w:pStyle w:val="145"/>
        <w:rPr>
          <w:rFonts w:ascii="Times New Roman" w:hAnsi="Times New Roman"/>
          <w:color w:val="auto"/>
          <w:sz w:val="24"/>
          <w:szCs w:val="24"/>
          <w:highlight w:val="none"/>
        </w:rPr>
      </w:pPr>
      <w:r>
        <w:rPr>
          <w:rFonts w:ascii="Times New Roman" w:hAnsi="Times New Roman"/>
          <w:color w:val="auto"/>
          <w:sz w:val="24"/>
          <w:szCs w:val="24"/>
          <w:highlight w:val="none"/>
        </w:rPr>
        <w:t>3）本表中信息如有虚假，一经查实将导致其响应文件被拒绝。</w:t>
      </w:r>
    </w:p>
    <w:p>
      <w:pPr>
        <w:pStyle w:val="25"/>
        <w:rPr>
          <w:rFonts w:ascii="Times New Roman" w:hAnsi="Times New Roman"/>
          <w:color w:val="auto"/>
          <w:sz w:val="24"/>
          <w:szCs w:val="24"/>
          <w:highlight w:val="none"/>
        </w:rPr>
      </w:pPr>
    </w:p>
    <w:p>
      <w:pPr>
        <w:pStyle w:val="25"/>
        <w:rPr>
          <w:rFonts w:ascii="Times New Roman" w:hAnsi="Times New Roman"/>
          <w:color w:val="auto"/>
          <w:sz w:val="24"/>
          <w:szCs w:val="24"/>
          <w:highlight w:val="none"/>
        </w:rPr>
      </w:pPr>
    </w:p>
    <w:p>
      <w:pPr>
        <w:pStyle w:val="25"/>
        <w:rPr>
          <w:rFonts w:ascii="Times New Roman" w:hAnsi="Times New Roman"/>
          <w:color w:val="auto"/>
          <w:sz w:val="24"/>
          <w:szCs w:val="24"/>
          <w:highlight w:val="none"/>
        </w:rPr>
      </w:pPr>
    </w:p>
    <w:p>
      <w:pPr>
        <w:rPr>
          <w:color w:val="auto"/>
          <w:szCs w:val="24"/>
          <w:highlight w:val="none"/>
        </w:rPr>
      </w:pPr>
      <w:r>
        <w:rPr>
          <w:color w:val="auto"/>
          <w:szCs w:val="24"/>
          <w:highlight w:val="none"/>
        </w:rPr>
        <w:t>供应商授权代表（签字）：_______________________</w:t>
      </w:r>
    </w:p>
    <w:p>
      <w:pPr>
        <w:rPr>
          <w:color w:val="auto"/>
          <w:szCs w:val="24"/>
          <w:highlight w:val="none"/>
        </w:rPr>
      </w:pPr>
      <w:r>
        <w:rPr>
          <w:color w:val="auto"/>
          <w:szCs w:val="24"/>
          <w:highlight w:val="none"/>
        </w:rPr>
        <w:t xml:space="preserve">供应商名称（加盖公章）：_______________________ </w:t>
      </w:r>
    </w:p>
    <w:p>
      <w:pPr>
        <w:pStyle w:val="4"/>
        <w:rPr>
          <w:color w:val="auto"/>
          <w:highlight w:val="none"/>
        </w:rPr>
      </w:pPr>
      <w:r>
        <w:rPr>
          <w:rFonts w:ascii="Times New Roman" w:hAnsi="Times New Roman"/>
          <w:color w:val="auto"/>
          <w:highlight w:val="none"/>
        </w:rPr>
        <w:br w:type="page"/>
      </w:r>
      <w:bookmarkStart w:id="1054" w:name="_Toc443397276"/>
    </w:p>
    <w:p>
      <w:pPr>
        <w:pStyle w:val="4"/>
        <w:rPr>
          <w:rFonts w:ascii="Times New Roman" w:hAnsi="Times New Roman"/>
          <w:color w:val="auto"/>
          <w:highlight w:val="none"/>
        </w:rPr>
      </w:pPr>
      <w:bookmarkStart w:id="1055" w:name="_Toc518557375"/>
      <w:bookmarkStart w:id="1056" w:name="_Toc462066515"/>
      <w:bookmarkStart w:id="1057" w:name="_Toc453622084"/>
      <w:bookmarkStart w:id="1058" w:name="_Toc462069449"/>
      <w:r>
        <w:rPr>
          <w:rFonts w:ascii="Times New Roman" w:hAnsi="Times New Roman"/>
          <w:color w:val="auto"/>
          <w:highlight w:val="none"/>
        </w:rPr>
        <w:t>附件</w:t>
      </w:r>
      <w:r>
        <w:rPr>
          <w:rFonts w:hint="eastAsia" w:ascii="Times New Roman" w:hAnsi="Times New Roman"/>
          <w:color w:val="auto"/>
          <w:highlight w:val="none"/>
        </w:rPr>
        <w:t xml:space="preserve">7 </w:t>
      </w:r>
      <w:r>
        <w:rPr>
          <w:rFonts w:ascii="Times New Roman" w:hAnsi="Times New Roman"/>
          <w:color w:val="auto"/>
          <w:highlight w:val="none"/>
        </w:rPr>
        <w:t>技术及服务方案</w:t>
      </w:r>
      <w:bookmarkEnd w:id="1054"/>
      <w:bookmarkEnd w:id="1055"/>
      <w:bookmarkEnd w:id="1056"/>
      <w:bookmarkEnd w:id="1057"/>
      <w:bookmarkEnd w:id="1058"/>
    </w:p>
    <w:p>
      <w:pPr>
        <w:rPr>
          <w:color w:val="auto"/>
          <w:szCs w:val="24"/>
          <w:highlight w:val="none"/>
        </w:rPr>
      </w:pPr>
    </w:p>
    <w:p>
      <w:pPr>
        <w:rPr>
          <w:color w:val="auto"/>
          <w:highlight w:val="none"/>
        </w:rPr>
      </w:pPr>
      <w:bookmarkStart w:id="1059" w:name="_Toc462066516"/>
      <w:bookmarkStart w:id="1060" w:name="_Toc460454728"/>
      <w:bookmarkStart w:id="1061" w:name="_Toc462069450"/>
      <w:bookmarkStart w:id="1062" w:name="_Toc443397277"/>
      <w:bookmarkStart w:id="1063" w:name="_Toc432430527"/>
      <w:bookmarkStart w:id="1064" w:name="_Toc443397209"/>
      <w:bookmarkStart w:id="1065" w:name="_Toc428444066"/>
      <w:bookmarkStart w:id="1066" w:name="_Toc453622085"/>
      <w:bookmarkStart w:id="1067" w:name="_Toc443495099"/>
      <w:r>
        <w:rPr>
          <w:rFonts w:hint="eastAsia"/>
          <w:color w:val="auto"/>
          <w:highlight w:val="none"/>
        </w:rPr>
        <w:t>供应商应根据磋商采购文件技术需求书的要求以及评审办法相关内容，详细叙述拟提供技术及服务方案，包括但不限于：</w:t>
      </w:r>
    </w:p>
    <w:p>
      <w:pPr>
        <w:rPr>
          <w:color w:val="auto"/>
          <w:highlight w:val="none"/>
        </w:rPr>
      </w:pPr>
      <w:r>
        <w:rPr>
          <w:rFonts w:hint="eastAsia"/>
          <w:color w:val="auto"/>
          <w:highlight w:val="none"/>
        </w:rPr>
        <w:t>1）技术方案及重点难点分析</w:t>
      </w:r>
    </w:p>
    <w:p>
      <w:pPr>
        <w:rPr>
          <w:color w:val="auto"/>
          <w:highlight w:val="none"/>
        </w:rPr>
      </w:pPr>
      <w:r>
        <w:rPr>
          <w:rFonts w:hint="eastAsia"/>
          <w:color w:val="auto"/>
          <w:highlight w:val="none"/>
        </w:rPr>
        <w:t>2）施工组织设计，包括：施工方法；拟投入的主要施工机械设备情况、劳动力计划等；结合工程特点提出切实可行的工程质量、安全文明施工、工程进度、技术组织措施；施工部署及现场平面布置。</w:t>
      </w:r>
    </w:p>
    <w:p>
      <w:pPr>
        <w:rPr>
          <w:color w:val="auto"/>
          <w:highlight w:val="none"/>
        </w:rPr>
      </w:pPr>
    </w:p>
    <w:p>
      <w:pPr>
        <w:widowControl/>
        <w:adjustRightInd/>
        <w:spacing w:line="240" w:lineRule="auto"/>
        <w:ind w:firstLine="0" w:firstLineChars="0"/>
        <w:textAlignment w:val="auto"/>
        <w:rPr>
          <w:b/>
          <w:bCs/>
          <w:color w:val="auto"/>
          <w:szCs w:val="24"/>
          <w:highlight w:val="none"/>
        </w:rPr>
      </w:pPr>
      <w:r>
        <w:rPr>
          <w:color w:val="auto"/>
          <w:highlight w:val="none"/>
        </w:rPr>
        <w:br w:type="page"/>
      </w:r>
    </w:p>
    <w:bookmarkEnd w:id="1059"/>
    <w:bookmarkEnd w:id="1060"/>
    <w:bookmarkEnd w:id="1061"/>
    <w:p>
      <w:pPr>
        <w:widowControl/>
        <w:adjustRightInd/>
        <w:spacing w:line="240" w:lineRule="auto"/>
        <w:ind w:firstLine="0" w:firstLineChars="0"/>
        <w:textAlignment w:val="auto"/>
        <w:rPr>
          <w:b/>
          <w:bCs/>
          <w:color w:val="auto"/>
          <w:szCs w:val="24"/>
          <w:highlight w:val="none"/>
        </w:rPr>
      </w:pPr>
    </w:p>
    <w:p>
      <w:pPr>
        <w:pStyle w:val="4"/>
        <w:rPr>
          <w:rFonts w:ascii="Times New Roman" w:hAnsi="Times New Roman"/>
          <w:color w:val="auto"/>
          <w:highlight w:val="none"/>
        </w:rPr>
      </w:pPr>
      <w:bookmarkStart w:id="1068" w:name="_Toc462069451"/>
      <w:bookmarkStart w:id="1069" w:name="_Toc462066517"/>
      <w:bookmarkStart w:id="1070" w:name="_Toc518557376"/>
      <w:r>
        <w:rPr>
          <w:rFonts w:ascii="Times New Roman" w:hAnsi="Times New Roman"/>
          <w:color w:val="auto"/>
          <w:highlight w:val="none"/>
        </w:rPr>
        <w:t>附件</w:t>
      </w:r>
      <w:r>
        <w:rPr>
          <w:rFonts w:hint="eastAsia" w:ascii="Times New Roman" w:hAnsi="Times New Roman"/>
          <w:color w:val="auto"/>
          <w:highlight w:val="none"/>
        </w:rPr>
        <w:t>7</w:t>
      </w:r>
      <w:r>
        <w:rPr>
          <w:rFonts w:ascii="Times New Roman" w:hAnsi="Times New Roman"/>
          <w:color w:val="auto"/>
          <w:highlight w:val="none"/>
        </w:rPr>
        <w:t>-</w:t>
      </w:r>
      <w:bookmarkEnd w:id="1062"/>
      <w:bookmarkEnd w:id="1063"/>
      <w:bookmarkEnd w:id="1064"/>
      <w:bookmarkEnd w:id="1065"/>
      <w:bookmarkStart w:id="1071" w:name="_Toc225597124"/>
      <w:bookmarkStart w:id="1072" w:name="_Toc226442394"/>
      <w:bookmarkStart w:id="1073" w:name="_Toc227383946"/>
      <w:bookmarkStart w:id="1074" w:name="_Toc269199631"/>
      <w:bookmarkStart w:id="1075" w:name="_Toc320116480"/>
      <w:bookmarkStart w:id="1076" w:name="_Toc320476233"/>
      <w:bookmarkStart w:id="1077" w:name="_Toc320542322"/>
      <w:bookmarkStart w:id="1078" w:name="_Toc428444067"/>
      <w:bookmarkStart w:id="1079" w:name="_Toc432430528"/>
      <w:bookmarkStart w:id="1080" w:name="_Toc443397210"/>
      <w:bookmarkStart w:id="1081" w:name="_Toc443397278"/>
      <w:r>
        <w:rPr>
          <w:rFonts w:hint="eastAsia" w:ascii="Times New Roman" w:hAnsi="Times New Roman"/>
          <w:color w:val="auto"/>
          <w:highlight w:val="none"/>
        </w:rPr>
        <w:t>1</w:t>
      </w:r>
      <w:bookmarkEnd w:id="1066"/>
      <w:bookmarkEnd w:id="1067"/>
      <w:bookmarkEnd w:id="1068"/>
      <w:bookmarkEnd w:id="1069"/>
      <w:bookmarkEnd w:id="1071"/>
      <w:bookmarkEnd w:id="1072"/>
      <w:bookmarkEnd w:id="1073"/>
      <w:bookmarkEnd w:id="1074"/>
      <w:bookmarkEnd w:id="1075"/>
      <w:bookmarkEnd w:id="1076"/>
      <w:bookmarkEnd w:id="1077"/>
      <w:bookmarkEnd w:id="1078"/>
      <w:bookmarkEnd w:id="1079"/>
      <w:bookmarkEnd w:id="1080"/>
      <w:bookmarkEnd w:id="1081"/>
      <w:r>
        <w:rPr>
          <w:rFonts w:hint="eastAsia" w:ascii="Times New Roman"/>
          <w:color w:val="auto"/>
          <w:highlight w:val="none"/>
        </w:rPr>
        <w:t>项目管理组织机构</w:t>
      </w:r>
      <w:bookmarkEnd w:id="1070"/>
    </w:p>
    <w:p>
      <w:pPr>
        <w:ind w:firstLine="240" w:firstLineChars="100"/>
        <w:rPr>
          <w:color w:val="auto"/>
          <w:highlight w:val="none"/>
        </w:rPr>
      </w:pPr>
      <w:r>
        <w:rPr>
          <w:rFonts w:hint="eastAsia"/>
          <w:color w:val="auto"/>
          <w:highlight w:val="none"/>
        </w:rPr>
        <w:t>供应商应说明为满足本项目实施需要，拟成立的本项目实施团队的管理组织机构。</w:t>
      </w:r>
    </w:p>
    <w:p>
      <w:pPr>
        <w:rPr>
          <w:rFonts w:cs="Courier New"/>
          <w:color w:val="auto"/>
          <w:highlight w:val="none"/>
        </w:rPr>
      </w:pPr>
      <w:bookmarkStart w:id="1082" w:name="_Toc453425675"/>
      <w:bookmarkStart w:id="1083" w:name="_Toc452020112"/>
      <w:bookmarkStart w:id="1084" w:name="_Toc452020034"/>
      <w:r>
        <w:rPr>
          <w:rFonts w:hint="eastAsia" w:cs="Courier New"/>
          <w:color w:val="auto"/>
          <w:highlight w:val="none"/>
        </w:rPr>
        <w:t>（一）</w:t>
      </w:r>
      <w:r>
        <w:rPr>
          <w:rFonts w:cs="Courier New"/>
          <w:color w:val="auto"/>
          <w:highlight w:val="none"/>
        </w:rPr>
        <w:t>项目管理机构组成表</w:t>
      </w:r>
      <w:bookmarkEnd w:id="1082"/>
      <w:bookmarkEnd w:id="1083"/>
      <w:bookmarkEnd w:id="1084"/>
    </w:p>
    <w:tbl>
      <w:tblPr>
        <w:tblStyle w:val="47"/>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647"/>
        <w:gridCol w:w="721"/>
        <w:gridCol w:w="719"/>
        <w:gridCol w:w="1485"/>
        <w:gridCol w:w="851"/>
        <w:gridCol w:w="708"/>
        <w:gridCol w:w="1134"/>
        <w:gridCol w:w="1701"/>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647" w:type="dxa"/>
            <w:vMerge w:val="restart"/>
          </w:tcPr>
          <w:p>
            <w:pPr>
              <w:ind w:firstLine="0" w:firstLineChars="0"/>
              <w:rPr>
                <w:color w:val="auto"/>
                <w:szCs w:val="21"/>
                <w:highlight w:val="none"/>
              </w:rPr>
            </w:pPr>
            <w:r>
              <w:rPr>
                <w:rFonts w:hint="eastAsia"/>
                <w:color w:val="auto"/>
                <w:szCs w:val="21"/>
                <w:highlight w:val="none"/>
              </w:rPr>
              <w:t>序号</w:t>
            </w:r>
          </w:p>
        </w:tc>
        <w:tc>
          <w:tcPr>
            <w:tcW w:w="647" w:type="dxa"/>
            <w:vMerge w:val="restart"/>
          </w:tcPr>
          <w:p>
            <w:pPr>
              <w:ind w:firstLine="0" w:firstLineChars="0"/>
              <w:rPr>
                <w:color w:val="auto"/>
                <w:szCs w:val="21"/>
                <w:highlight w:val="none"/>
              </w:rPr>
            </w:pPr>
            <w:r>
              <w:rPr>
                <w:color w:val="auto"/>
                <w:szCs w:val="21"/>
                <w:highlight w:val="none"/>
              </w:rPr>
              <w:t>职务</w:t>
            </w:r>
          </w:p>
        </w:tc>
        <w:tc>
          <w:tcPr>
            <w:tcW w:w="721" w:type="dxa"/>
            <w:vMerge w:val="restart"/>
          </w:tcPr>
          <w:p>
            <w:pPr>
              <w:ind w:firstLine="0" w:firstLineChars="0"/>
              <w:rPr>
                <w:color w:val="auto"/>
                <w:szCs w:val="21"/>
                <w:highlight w:val="none"/>
              </w:rPr>
            </w:pPr>
            <w:r>
              <w:rPr>
                <w:color w:val="auto"/>
                <w:szCs w:val="21"/>
                <w:highlight w:val="none"/>
              </w:rPr>
              <w:t>姓名</w:t>
            </w:r>
          </w:p>
        </w:tc>
        <w:tc>
          <w:tcPr>
            <w:tcW w:w="719" w:type="dxa"/>
            <w:vMerge w:val="restart"/>
          </w:tcPr>
          <w:p>
            <w:pPr>
              <w:ind w:firstLine="0" w:firstLineChars="0"/>
              <w:rPr>
                <w:color w:val="auto"/>
                <w:szCs w:val="21"/>
                <w:highlight w:val="none"/>
              </w:rPr>
            </w:pPr>
            <w:r>
              <w:rPr>
                <w:color w:val="auto"/>
                <w:szCs w:val="21"/>
                <w:highlight w:val="none"/>
              </w:rPr>
              <w:t>职称</w:t>
            </w:r>
          </w:p>
        </w:tc>
        <w:tc>
          <w:tcPr>
            <w:tcW w:w="5879" w:type="dxa"/>
            <w:gridSpan w:val="5"/>
          </w:tcPr>
          <w:p>
            <w:pPr>
              <w:rPr>
                <w:color w:val="auto"/>
                <w:szCs w:val="21"/>
                <w:highlight w:val="none"/>
              </w:rPr>
            </w:pPr>
            <w:r>
              <w:rPr>
                <w:color w:val="auto"/>
                <w:szCs w:val="21"/>
                <w:highlight w:val="none"/>
              </w:rPr>
              <w:t>执业或职业资格证明</w:t>
            </w:r>
          </w:p>
        </w:tc>
        <w:tc>
          <w:tcPr>
            <w:tcW w:w="556" w:type="dxa"/>
            <w:vMerge w:val="restart"/>
          </w:tcPr>
          <w:p>
            <w:pPr>
              <w:ind w:firstLine="0" w:firstLineChars="0"/>
              <w:rPr>
                <w:color w:val="auto"/>
                <w:szCs w:val="21"/>
                <w:highlight w:val="none"/>
              </w:rPr>
            </w:pPr>
            <w:r>
              <w:rPr>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Merge w:val="continue"/>
          </w:tcPr>
          <w:p>
            <w:pPr>
              <w:rPr>
                <w:color w:val="auto"/>
                <w:szCs w:val="21"/>
                <w:highlight w:val="none"/>
              </w:rPr>
            </w:pPr>
          </w:p>
        </w:tc>
        <w:tc>
          <w:tcPr>
            <w:tcW w:w="647" w:type="dxa"/>
            <w:vMerge w:val="continue"/>
          </w:tcPr>
          <w:p>
            <w:pPr>
              <w:rPr>
                <w:color w:val="auto"/>
                <w:szCs w:val="21"/>
                <w:highlight w:val="none"/>
              </w:rPr>
            </w:pPr>
          </w:p>
        </w:tc>
        <w:tc>
          <w:tcPr>
            <w:tcW w:w="721" w:type="dxa"/>
            <w:vMerge w:val="continue"/>
          </w:tcPr>
          <w:p>
            <w:pPr>
              <w:rPr>
                <w:color w:val="auto"/>
                <w:szCs w:val="21"/>
                <w:highlight w:val="none"/>
              </w:rPr>
            </w:pPr>
          </w:p>
        </w:tc>
        <w:tc>
          <w:tcPr>
            <w:tcW w:w="719" w:type="dxa"/>
            <w:vMerge w:val="continue"/>
          </w:tcPr>
          <w:p>
            <w:pPr>
              <w:rPr>
                <w:color w:val="auto"/>
                <w:szCs w:val="21"/>
                <w:highlight w:val="none"/>
              </w:rPr>
            </w:pPr>
          </w:p>
        </w:tc>
        <w:tc>
          <w:tcPr>
            <w:tcW w:w="1485" w:type="dxa"/>
          </w:tcPr>
          <w:p>
            <w:pPr>
              <w:ind w:firstLine="0" w:firstLineChars="0"/>
              <w:rPr>
                <w:color w:val="auto"/>
                <w:szCs w:val="21"/>
                <w:highlight w:val="none"/>
              </w:rPr>
            </w:pPr>
            <w:r>
              <w:rPr>
                <w:color w:val="auto"/>
                <w:szCs w:val="21"/>
                <w:highlight w:val="none"/>
              </w:rPr>
              <w:t>证书名称</w:t>
            </w:r>
          </w:p>
        </w:tc>
        <w:tc>
          <w:tcPr>
            <w:tcW w:w="851" w:type="dxa"/>
          </w:tcPr>
          <w:p>
            <w:pPr>
              <w:ind w:firstLine="0" w:firstLineChars="0"/>
              <w:rPr>
                <w:color w:val="auto"/>
                <w:szCs w:val="21"/>
                <w:highlight w:val="none"/>
              </w:rPr>
            </w:pPr>
            <w:r>
              <w:rPr>
                <w:color w:val="auto"/>
                <w:szCs w:val="21"/>
                <w:highlight w:val="none"/>
              </w:rPr>
              <w:t>级别</w:t>
            </w:r>
          </w:p>
        </w:tc>
        <w:tc>
          <w:tcPr>
            <w:tcW w:w="708" w:type="dxa"/>
          </w:tcPr>
          <w:p>
            <w:pPr>
              <w:ind w:firstLine="0" w:firstLineChars="0"/>
              <w:rPr>
                <w:color w:val="auto"/>
                <w:szCs w:val="21"/>
                <w:highlight w:val="none"/>
              </w:rPr>
            </w:pPr>
            <w:r>
              <w:rPr>
                <w:color w:val="auto"/>
                <w:szCs w:val="21"/>
                <w:highlight w:val="none"/>
              </w:rPr>
              <w:t>证号</w:t>
            </w:r>
          </w:p>
        </w:tc>
        <w:tc>
          <w:tcPr>
            <w:tcW w:w="1134" w:type="dxa"/>
          </w:tcPr>
          <w:p>
            <w:pPr>
              <w:ind w:firstLine="0" w:firstLineChars="0"/>
              <w:rPr>
                <w:color w:val="auto"/>
                <w:szCs w:val="21"/>
                <w:highlight w:val="none"/>
              </w:rPr>
            </w:pPr>
            <w:r>
              <w:rPr>
                <w:color w:val="auto"/>
                <w:szCs w:val="21"/>
                <w:highlight w:val="none"/>
              </w:rPr>
              <w:t>专业</w:t>
            </w:r>
          </w:p>
        </w:tc>
        <w:tc>
          <w:tcPr>
            <w:tcW w:w="1701" w:type="dxa"/>
          </w:tcPr>
          <w:p>
            <w:pPr>
              <w:ind w:firstLine="0" w:firstLineChars="0"/>
              <w:rPr>
                <w:color w:val="auto"/>
                <w:szCs w:val="21"/>
                <w:highlight w:val="none"/>
              </w:rPr>
            </w:pPr>
            <w:r>
              <w:rPr>
                <w:rFonts w:hint="eastAsia"/>
                <w:color w:val="auto"/>
                <w:szCs w:val="21"/>
                <w:highlight w:val="none"/>
              </w:rPr>
              <w:t>是否本单位员工</w:t>
            </w:r>
          </w:p>
        </w:tc>
        <w:tc>
          <w:tcPr>
            <w:tcW w:w="556" w:type="dxa"/>
            <w:vMerge w:val="continue"/>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47" w:type="dxa"/>
          </w:tcPr>
          <w:p>
            <w:pPr>
              <w:rPr>
                <w:color w:val="auto"/>
                <w:szCs w:val="21"/>
                <w:highlight w:val="none"/>
              </w:rPr>
            </w:pPr>
          </w:p>
        </w:tc>
        <w:tc>
          <w:tcPr>
            <w:tcW w:w="647" w:type="dxa"/>
          </w:tcPr>
          <w:p>
            <w:pPr>
              <w:rPr>
                <w:color w:val="auto"/>
                <w:szCs w:val="21"/>
                <w:highlight w:val="none"/>
              </w:rPr>
            </w:pPr>
          </w:p>
        </w:tc>
        <w:tc>
          <w:tcPr>
            <w:tcW w:w="721" w:type="dxa"/>
          </w:tcPr>
          <w:p>
            <w:pPr>
              <w:rPr>
                <w:color w:val="auto"/>
                <w:szCs w:val="21"/>
                <w:highlight w:val="none"/>
              </w:rPr>
            </w:pPr>
          </w:p>
        </w:tc>
        <w:tc>
          <w:tcPr>
            <w:tcW w:w="719" w:type="dxa"/>
          </w:tcPr>
          <w:p>
            <w:pPr>
              <w:rPr>
                <w:color w:val="auto"/>
                <w:szCs w:val="21"/>
                <w:highlight w:val="none"/>
              </w:rPr>
            </w:pPr>
          </w:p>
        </w:tc>
        <w:tc>
          <w:tcPr>
            <w:tcW w:w="1485" w:type="dxa"/>
          </w:tcPr>
          <w:p>
            <w:pPr>
              <w:rPr>
                <w:color w:val="auto"/>
                <w:szCs w:val="21"/>
                <w:highlight w:val="none"/>
              </w:rPr>
            </w:pPr>
          </w:p>
        </w:tc>
        <w:tc>
          <w:tcPr>
            <w:tcW w:w="851" w:type="dxa"/>
          </w:tcPr>
          <w:p>
            <w:pPr>
              <w:rPr>
                <w:color w:val="auto"/>
                <w:szCs w:val="21"/>
                <w:highlight w:val="none"/>
              </w:rPr>
            </w:pPr>
          </w:p>
        </w:tc>
        <w:tc>
          <w:tcPr>
            <w:tcW w:w="708" w:type="dxa"/>
          </w:tcPr>
          <w:p>
            <w:pPr>
              <w:rPr>
                <w:color w:val="auto"/>
                <w:szCs w:val="21"/>
                <w:highlight w:val="none"/>
              </w:rPr>
            </w:pPr>
          </w:p>
        </w:tc>
        <w:tc>
          <w:tcPr>
            <w:tcW w:w="1134" w:type="dxa"/>
          </w:tcPr>
          <w:p>
            <w:pPr>
              <w:rPr>
                <w:color w:val="auto"/>
                <w:szCs w:val="21"/>
                <w:highlight w:val="none"/>
              </w:rPr>
            </w:pPr>
          </w:p>
        </w:tc>
        <w:tc>
          <w:tcPr>
            <w:tcW w:w="1701" w:type="dxa"/>
          </w:tcPr>
          <w:p>
            <w:pPr>
              <w:rPr>
                <w:color w:val="auto"/>
                <w:szCs w:val="21"/>
                <w:highlight w:val="none"/>
              </w:rPr>
            </w:pPr>
          </w:p>
        </w:tc>
        <w:tc>
          <w:tcPr>
            <w:tcW w:w="556" w:type="dxa"/>
          </w:tcPr>
          <w:p>
            <w:pPr>
              <w:rPr>
                <w:color w:val="auto"/>
                <w:szCs w:val="21"/>
                <w:highlight w:val="none"/>
              </w:rPr>
            </w:pPr>
          </w:p>
        </w:tc>
      </w:tr>
    </w:tbl>
    <w:p>
      <w:pPr>
        <w:rPr>
          <w:rFonts w:ascii="宋体" w:hAnsi="宋体"/>
          <w:color w:val="auto"/>
          <w:highlight w:val="none"/>
        </w:rPr>
      </w:pPr>
    </w:p>
    <w:p>
      <w:pPr>
        <w:rPr>
          <w:color w:val="auto"/>
          <w:szCs w:val="24"/>
          <w:highlight w:val="none"/>
        </w:rPr>
      </w:pPr>
      <w:r>
        <w:rPr>
          <w:color w:val="auto"/>
          <w:szCs w:val="24"/>
          <w:highlight w:val="none"/>
        </w:rPr>
        <w:t>供应商授权代表（签字）：_______________________</w:t>
      </w:r>
    </w:p>
    <w:p>
      <w:pPr>
        <w:rPr>
          <w:color w:val="auto"/>
          <w:szCs w:val="24"/>
          <w:highlight w:val="none"/>
        </w:rPr>
      </w:pPr>
      <w:r>
        <w:rPr>
          <w:color w:val="auto"/>
          <w:szCs w:val="24"/>
          <w:highlight w:val="none"/>
        </w:rPr>
        <w:t xml:space="preserve">供应商名称（加盖公章）：_______________________ </w:t>
      </w:r>
    </w:p>
    <w:p>
      <w:pPr>
        <w:rPr>
          <w:color w:val="auto"/>
          <w:highlight w:val="none"/>
        </w:rPr>
      </w:pPr>
      <w:r>
        <w:rPr>
          <w:color w:val="auto"/>
          <w:highlight w:val="none"/>
        </w:rPr>
        <w:br w:type="page"/>
      </w:r>
      <w:bookmarkStart w:id="1085" w:name="_Toc452020035"/>
      <w:bookmarkStart w:id="1086" w:name="_Toc452020113"/>
      <w:bookmarkStart w:id="1087" w:name="_Toc152045805"/>
      <w:bookmarkStart w:id="1088" w:name="_Toc179632825"/>
      <w:bookmarkStart w:id="1089" w:name="_Toc453425676"/>
      <w:bookmarkStart w:id="1090" w:name="_Toc144974873"/>
      <w:bookmarkStart w:id="1091" w:name="_Toc152042594"/>
      <w:r>
        <w:rPr>
          <w:color w:val="auto"/>
          <w:highlight w:val="none"/>
        </w:rPr>
        <w:t>（</w:t>
      </w:r>
      <w:r>
        <w:rPr>
          <w:rFonts w:hint="eastAsia"/>
          <w:color w:val="auto"/>
          <w:highlight w:val="none"/>
        </w:rPr>
        <w:t>二</w:t>
      </w:r>
      <w:r>
        <w:rPr>
          <w:color w:val="auto"/>
          <w:highlight w:val="none"/>
        </w:rPr>
        <w:t>）主要人员简历表</w:t>
      </w:r>
      <w:bookmarkEnd w:id="1085"/>
      <w:bookmarkEnd w:id="1086"/>
      <w:bookmarkEnd w:id="1087"/>
      <w:bookmarkEnd w:id="1088"/>
      <w:bookmarkEnd w:id="1089"/>
      <w:bookmarkEnd w:id="1090"/>
      <w:bookmarkEnd w:id="1091"/>
    </w:p>
    <w:tbl>
      <w:tblPr>
        <w:tblStyle w:val="4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470"/>
        <w:gridCol w:w="927"/>
        <w:gridCol w:w="1065"/>
        <w:gridCol w:w="706"/>
        <w:gridCol w:w="1261"/>
        <w:gridCol w:w="163"/>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6" w:type="dxa"/>
            <w:vAlign w:val="center"/>
          </w:tcPr>
          <w:p>
            <w:pPr>
              <w:spacing w:line="440" w:lineRule="exact"/>
              <w:ind w:firstLine="0" w:firstLineChars="0"/>
              <w:jc w:val="center"/>
              <w:rPr>
                <w:rFonts w:ascii="宋体" w:hAnsi="宋体"/>
                <w:color w:val="auto"/>
                <w:szCs w:val="21"/>
                <w:highlight w:val="none"/>
              </w:rPr>
            </w:pPr>
            <w:r>
              <w:rPr>
                <w:rFonts w:ascii="宋体" w:hAnsi="宋体"/>
                <w:color w:val="auto"/>
                <w:szCs w:val="21"/>
                <w:highlight w:val="none"/>
              </w:rPr>
              <w:t>姓  名</w:t>
            </w:r>
          </w:p>
        </w:tc>
        <w:tc>
          <w:tcPr>
            <w:tcW w:w="470" w:type="dxa"/>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ind w:firstLine="0" w:firstLineChars="0"/>
              <w:rPr>
                <w:rFonts w:ascii="宋体" w:hAnsi="宋体"/>
                <w:color w:val="auto"/>
                <w:szCs w:val="21"/>
                <w:highlight w:val="none"/>
              </w:rPr>
            </w:pPr>
            <w:r>
              <w:rPr>
                <w:rFonts w:ascii="宋体" w:hAnsi="宋体"/>
                <w:color w:val="auto"/>
                <w:szCs w:val="21"/>
                <w:highlight w:val="none"/>
              </w:rPr>
              <w:t>年 龄</w:t>
            </w:r>
          </w:p>
        </w:tc>
        <w:tc>
          <w:tcPr>
            <w:tcW w:w="1065" w:type="dxa"/>
            <w:vAlign w:val="center"/>
          </w:tcPr>
          <w:p>
            <w:pPr>
              <w:spacing w:line="440" w:lineRule="exact"/>
              <w:jc w:val="center"/>
              <w:rPr>
                <w:rFonts w:ascii="宋体" w:hAnsi="宋体"/>
                <w:color w:val="auto"/>
                <w:szCs w:val="21"/>
                <w:highlight w:val="none"/>
              </w:rPr>
            </w:pPr>
          </w:p>
        </w:tc>
        <w:tc>
          <w:tcPr>
            <w:tcW w:w="2130" w:type="dxa"/>
            <w:gridSpan w:val="3"/>
            <w:vAlign w:val="center"/>
          </w:tcPr>
          <w:p>
            <w:pPr>
              <w:spacing w:line="440" w:lineRule="exact"/>
              <w:rPr>
                <w:rFonts w:ascii="宋体" w:hAnsi="宋体"/>
                <w:color w:val="auto"/>
                <w:szCs w:val="21"/>
                <w:highlight w:val="none"/>
              </w:rPr>
            </w:pPr>
            <w:r>
              <w:rPr>
                <w:rFonts w:ascii="宋体" w:hAnsi="宋体"/>
                <w:color w:val="auto"/>
                <w:szCs w:val="21"/>
                <w:highlight w:val="none"/>
              </w:rPr>
              <w:t>学历</w:t>
            </w:r>
          </w:p>
        </w:tc>
        <w:tc>
          <w:tcPr>
            <w:tcW w:w="2134"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6" w:type="dxa"/>
            <w:vAlign w:val="center"/>
          </w:tcPr>
          <w:p>
            <w:pPr>
              <w:spacing w:line="440" w:lineRule="exact"/>
              <w:ind w:firstLine="0" w:firstLineChars="0"/>
              <w:jc w:val="center"/>
              <w:rPr>
                <w:rFonts w:ascii="宋体" w:hAnsi="宋体"/>
                <w:color w:val="auto"/>
                <w:szCs w:val="21"/>
                <w:highlight w:val="none"/>
              </w:rPr>
            </w:pPr>
            <w:r>
              <w:rPr>
                <w:rFonts w:ascii="宋体" w:hAnsi="宋体"/>
                <w:color w:val="auto"/>
                <w:szCs w:val="21"/>
                <w:highlight w:val="none"/>
              </w:rPr>
              <w:t>职  称</w:t>
            </w:r>
          </w:p>
        </w:tc>
        <w:tc>
          <w:tcPr>
            <w:tcW w:w="470" w:type="dxa"/>
            <w:vAlign w:val="center"/>
          </w:tcPr>
          <w:p>
            <w:pPr>
              <w:spacing w:line="440" w:lineRule="exact"/>
              <w:jc w:val="center"/>
              <w:rPr>
                <w:rFonts w:ascii="宋体" w:hAnsi="宋体"/>
                <w:color w:val="auto"/>
                <w:szCs w:val="21"/>
                <w:highlight w:val="none"/>
              </w:rPr>
            </w:pPr>
          </w:p>
        </w:tc>
        <w:tc>
          <w:tcPr>
            <w:tcW w:w="927" w:type="dxa"/>
            <w:vAlign w:val="center"/>
          </w:tcPr>
          <w:p>
            <w:pPr>
              <w:spacing w:line="440" w:lineRule="exact"/>
              <w:ind w:firstLine="0" w:firstLineChars="0"/>
              <w:rPr>
                <w:rFonts w:ascii="宋体" w:hAnsi="宋体"/>
                <w:color w:val="auto"/>
                <w:szCs w:val="21"/>
                <w:highlight w:val="none"/>
              </w:rPr>
            </w:pPr>
            <w:r>
              <w:rPr>
                <w:rFonts w:ascii="宋体" w:hAnsi="宋体"/>
                <w:color w:val="auto"/>
                <w:szCs w:val="21"/>
                <w:highlight w:val="none"/>
              </w:rPr>
              <w:t>职 务</w:t>
            </w:r>
          </w:p>
        </w:tc>
        <w:tc>
          <w:tcPr>
            <w:tcW w:w="1065" w:type="dxa"/>
            <w:vAlign w:val="center"/>
          </w:tcPr>
          <w:p>
            <w:pPr>
              <w:spacing w:line="440" w:lineRule="exact"/>
              <w:jc w:val="center"/>
              <w:rPr>
                <w:rFonts w:ascii="宋体" w:hAnsi="宋体"/>
                <w:color w:val="auto"/>
                <w:szCs w:val="21"/>
                <w:highlight w:val="none"/>
              </w:rPr>
            </w:pPr>
          </w:p>
        </w:tc>
        <w:tc>
          <w:tcPr>
            <w:tcW w:w="2130" w:type="dxa"/>
            <w:gridSpan w:val="3"/>
            <w:vAlign w:val="center"/>
          </w:tcPr>
          <w:p>
            <w:pPr>
              <w:spacing w:line="440" w:lineRule="exact"/>
              <w:ind w:firstLine="0" w:firstLineChars="0"/>
              <w:rPr>
                <w:rFonts w:ascii="宋体" w:hAnsi="宋体"/>
                <w:color w:val="auto"/>
                <w:szCs w:val="21"/>
                <w:highlight w:val="none"/>
              </w:rPr>
            </w:pPr>
            <w:r>
              <w:rPr>
                <w:rFonts w:ascii="宋体" w:hAnsi="宋体"/>
                <w:color w:val="auto"/>
                <w:szCs w:val="21"/>
                <w:highlight w:val="none"/>
              </w:rPr>
              <w:t>拟在本合同任职</w:t>
            </w:r>
          </w:p>
        </w:tc>
        <w:tc>
          <w:tcPr>
            <w:tcW w:w="2134" w:type="dxa"/>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6" w:type="dxa"/>
            <w:vAlign w:val="center"/>
          </w:tcPr>
          <w:p>
            <w:pPr>
              <w:spacing w:line="440" w:lineRule="exact"/>
              <w:ind w:firstLine="0" w:firstLineChars="0"/>
              <w:jc w:val="center"/>
              <w:rPr>
                <w:rFonts w:ascii="宋体" w:hAnsi="宋体"/>
                <w:color w:val="auto"/>
                <w:szCs w:val="21"/>
                <w:highlight w:val="none"/>
              </w:rPr>
            </w:pPr>
            <w:r>
              <w:rPr>
                <w:rFonts w:ascii="宋体" w:hAnsi="宋体"/>
                <w:color w:val="auto"/>
                <w:szCs w:val="21"/>
                <w:highlight w:val="none"/>
              </w:rPr>
              <w:t>毕业学校</w:t>
            </w:r>
          </w:p>
        </w:tc>
        <w:tc>
          <w:tcPr>
            <w:tcW w:w="6726" w:type="dxa"/>
            <w:gridSpan w:val="7"/>
          </w:tcPr>
          <w:p>
            <w:pPr>
              <w:spacing w:line="440" w:lineRule="exact"/>
              <w:ind w:firstLine="1080" w:firstLineChars="450"/>
              <w:rPr>
                <w:rFonts w:ascii="宋体" w:hAnsi="宋体"/>
                <w:color w:val="auto"/>
                <w:szCs w:val="21"/>
                <w:highlight w:val="none"/>
              </w:rPr>
            </w:pPr>
            <w:r>
              <w:rPr>
                <w:rFonts w:ascii="宋体" w:hAnsi="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96" w:type="dxa"/>
            <w:vAlign w:val="center"/>
          </w:tcPr>
          <w:p>
            <w:pPr>
              <w:spacing w:line="440" w:lineRule="exact"/>
              <w:ind w:firstLine="0" w:firstLineChars="0"/>
              <w:jc w:val="center"/>
              <w:rPr>
                <w:rFonts w:ascii="宋体" w:hAnsi="宋体"/>
                <w:color w:val="auto"/>
                <w:szCs w:val="21"/>
                <w:highlight w:val="none"/>
              </w:rPr>
            </w:pPr>
            <w:r>
              <w:rPr>
                <w:color w:val="auto"/>
                <w:szCs w:val="21"/>
                <w:highlight w:val="none"/>
              </w:rPr>
              <w:t>执业或职业资格</w:t>
            </w:r>
          </w:p>
        </w:tc>
        <w:tc>
          <w:tcPr>
            <w:tcW w:w="6726" w:type="dxa"/>
            <w:gridSpan w:val="7"/>
          </w:tcPr>
          <w:p>
            <w:pPr>
              <w:spacing w:line="440" w:lineRule="exact"/>
              <w:ind w:firstLine="1080" w:firstLineChars="4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8"/>
            <w:vAlign w:val="center"/>
          </w:tcPr>
          <w:p>
            <w:pPr>
              <w:spacing w:line="440" w:lineRule="exact"/>
              <w:rPr>
                <w:rFonts w:ascii="宋体" w:hAnsi="宋体"/>
                <w:color w:val="auto"/>
                <w:szCs w:val="21"/>
                <w:highlight w:val="none"/>
              </w:rPr>
            </w:pPr>
            <w:r>
              <w:rPr>
                <w:rFonts w:ascii="宋体" w:hAnsi="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796" w:type="dxa"/>
            <w:vAlign w:val="center"/>
          </w:tcPr>
          <w:p>
            <w:pPr>
              <w:spacing w:line="440" w:lineRule="exact"/>
              <w:rPr>
                <w:rFonts w:ascii="宋体" w:hAnsi="宋体"/>
                <w:color w:val="auto"/>
                <w:szCs w:val="21"/>
                <w:highlight w:val="none"/>
              </w:rPr>
            </w:pPr>
            <w:r>
              <w:rPr>
                <w:rFonts w:ascii="宋体" w:hAnsi="宋体"/>
                <w:color w:val="auto"/>
                <w:szCs w:val="21"/>
                <w:highlight w:val="none"/>
              </w:rPr>
              <w:t>时  间</w:t>
            </w:r>
          </w:p>
        </w:tc>
        <w:tc>
          <w:tcPr>
            <w:tcW w:w="3168" w:type="dxa"/>
            <w:gridSpan w:val="4"/>
            <w:vAlign w:val="center"/>
          </w:tcPr>
          <w:p>
            <w:pPr>
              <w:spacing w:line="440" w:lineRule="exact"/>
              <w:rPr>
                <w:rFonts w:ascii="宋体" w:hAnsi="宋体"/>
                <w:color w:val="auto"/>
                <w:szCs w:val="21"/>
                <w:highlight w:val="none"/>
              </w:rPr>
            </w:pPr>
            <w:r>
              <w:rPr>
                <w:rFonts w:ascii="宋体" w:hAnsi="宋体"/>
                <w:color w:val="auto"/>
                <w:szCs w:val="21"/>
                <w:highlight w:val="none"/>
              </w:rPr>
              <w:t>参加过的类似项目</w:t>
            </w:r>
          </w:p>
        </w:tc>
        <w:tc>
          <w:tcPr>
            <w:tcW w:w="1261" w:type="dxa"/>
            <w:vAlign w:val="center"/>
          </w:tcPr>
          <w:p>
            <w:pPr>
              <w:spacing w:line="440" w:lineRule="exact"/>
              <w:rPr>
                <w:rFonts w:ascii="宋体" w:hAnsi="宋体"/>
                <w:color w:val="auto"/>
                <w:szCs w:val="21"/>
                <w:highlight w:val="none"/>
              </w:rPr>
            </w:pPr>
            <w:r>
              <w:rPr>
                <w:rFonts w:ascii="宋体" w:hAnsi="宋体"/>
                <w:color w:val="auto"/>
                <w:szCs w:val="21"/>
                <w:highlight w:val="none"/>
              </w:rPr>
              <w:t>担任职务</w:t>
            </w:r>
          </w:p>
        </w:tc>
        <w:tc>
          <w:tcPr>
            <w:tcW w:w="2297" w:type="dxa"/>
            <w:gridSpan w:val="2"/>
            <w:vAlign w:val="center"/>
          </w:tcPr>
          <w:p>
            <w:pPr>
              <w:spacing w:line="440" w:lineRule="exact"/>
              <w:rPr>
                <w:rFonts w:ascii="宋体" w:hAnsi="宋体"/>
                <w:color w:val="auto"/>
                <w:szCs w:val="21"/>
                <w:highlight w:val="none"/>
              </w:rPr>
            </w:pPr>
            <w:r>
              <w:rPr>
                <w:rFonts w:ascii="宋体" w:hAnsi="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tcPr>
          <w:p>
            <w:pPr>
              <w:spacing w:line="440" w:lineRule="exact"/>
              <w:rPr>
                <w:rFonts w:eastAsia="黑体"/>
                <w:color w:val="auto"/>
                <w:szCs w:val="21"/>
                <w:highlight w:val="none"/>
              </w:rPr>
            </w:pPr>
          </w:p>
        </w:tc>
        <w:tc>
          <w:tcPr>
            <w:tcW w:w="3168" w:type="dxa"/>
            <w:gridSpan w:val="4"/>
          </w:tcPr>
          <w:p>
            <w:pPr>
              <w:spacing w:line="440" w:lineRule="exact"/>
              <w:rPr>
                <w:rFonts w:eastAsia="黑体"/>
                <w:color w:val="auto"/>
                <w:szCs w:val="21"/>
                <w:highlight w:val="none"/>
              </w:rPr>
            </w:pPr>
          </w:p>
        </w:tc>
        <w:tc>
          <w:tcPr>
            <w:tcW w:w="1261" w:type="dxa"/>
          </w:tcPr>
          <w:p>
            <w:pPr>
              <w:spacing w:line="440" w:lineRule="exact"/>
              <w:rPr>
                <w:rFonts w:eastAsia="黑体"/>
                <w:color w:val="auto"/>
                <w:szCs w:val="21"/>
                <w:highlight w:val="none"/>
              </w:rPr>
            </w:pPr>
          </w:p>
        </w:tc>
        <w:tc>
          <w:tcPr>
            <w:tcW w:w="2297"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tcPr>
          <w:p>
            <w:pPr>
              <w:spacing w:line="440" w:lineRule="exact"/>
              <w:rPr>
                <w:rFonts w:eastAsia="黑体"/>
                <w:color w:val="auto"/>
                <w:szCs w:val="21"/>
                <w:highlight w:val="none"/>
              </w:rPr>
            </w:pPr>
          </w:p>
        </w:tc>
        <w:tc>
          <w:tcPr>
            <w:tcW w:w="3168" w:type="dxa"/>
            <w:gridSpan w:val="4"/>
          </w:tcPr>
          <w:p>
            <w:pPr>
              <w:spacing w:line="440" w:lineRule="exact"/>
              <w:rPr>
                <w:rFonts w:eastAsia="黑体"/>
                <w:color w:val="auto"/>
                <w:szCs w:val="21"/>
                <w:highlight w:val="none"/>
              </w:rPr>
            </w:pPr>
          </w:p>
        </w:tc>
        <w:tc>
          <w:tcPr>
            <w:tcW w:w="1261" w:type="dxa"/>
          </w:tcPr>
          <w:p>
            <w:pPr>
              <w:spacing w:line="440" w:lineRule="exact"/>
              <w:rPr>
                <w:rFonts w:eastAsia="黑体"/>
                <w:color w:val="auto"/>
                <w:szCs w:val="21"/>
                <w:highlight w:val="none"/>
              </w:rPr>
            </w:pPr>
          </w:p>
        </w:tc>
        <w:tc>
          <w:tcPr>
            <w:tcW w:w="2297"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tcPr>
          <w:p>
            <w:pPr>
              <w:spacing w:line="440" w:lineRule="exact"/>
              <w:rPr>
                <w:rFonts w:eastAsia="黑体"/>
                <w:color w:val="auto"/>
                <w:szCs w:val="21"/>
                <w:highlight w:val="none"/>
              </w:rPr>
            </w:pPr>
          </w:p>
        </w:tc>
        <w:tc>
          <w:tcPr>
            <w:tcW w:w="3168" w:type="dxa"/>
            <w:gridSpan w:val="4"/>
          </w:tcPr>
          <w:p>
            <w:pPr>
              <w:spacing w:line="440" w:lineRule="exact"/>
              <w:rPr>
                <w:rFonts w:eastAsia="黑体"/>
                <w:color w:val="auto"/>
                <w:szCs w:val="21"/>
                <w:highlight w:val="none"/>
              </w:rPr>
            </w:pPr>
          </w:p>
        </w:tc>
        <w:tc>
          <w:tcPr>
            <w:tcW w:w="1261" w:type="dxa"/>
          </w:tcPr>
          <w:p>
            <w:pPr>
              <w:spacing w:line="440" w:lineRule="exact"/>
              <w:rPr>
                <w:rFonts w:eastAsia="黑体"/>
                <w:color w:val="auto"/>
                <w:szCs w:val="21"/>
                <w:highlight w:val="none"/>
              </w:rPr>
            </w:pPr>
          </w:p>
        </w:tc>
        <w:tc>
          <w:tcPr>
            <w:tcW w:w="2297" w:type="dxa"/>
            <w:gridSpan w:val="2"/>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796" w:type="dxa"/>
            <w:vAlign w:val="center"/>
          </w:tcPr>
          <w:p>
            <w:pPr>
              <w:spacing w:line="440" w:lineRule="exact"/>
              <w:rPr>
                <w:rFonts w:eastAsia="黑体"/>
                <w:color w:val="auto"/>
                <w:szCs w:val="21"/>
                <w:highlight w:val="none"/>
              </w:rPr>
            </w:pPr>
          </w:p>
        </w:tc>
        <w:tc>
          <w:tcPr>
            <w:tcW w:w="3168" w:type="dxa"/>
            <w:gridSpan w:val="4"/>
            <w:vAlign w:val="center"/>
          </w:tcPr>
          <w:p>
            <w:pPr>
              <w:spacing w:line="440" w:lineRule="exact"/>
              <w:rPr>
                <w:rFonts w:eastAsia="黑体"/>
                <w:color w:val="auto"/>
                <w:szCs w:val="21"/>
                <w:highlight w:val="none"/>
              </w:rPr>
            </w:pPr>
          </w:p>
        </w:tc>
        <w:tc>
          <w:tcPr>
            <w:tcW w:w="1261" w:type="dxa"/>
            <w:vAlign w:val="center"/>
          </w:tcPr>
          <w:p>
            <w:pPr>
              <w:spacing w:line="440" w:lineRule="exact"/>
              <w:rPr>
                <w:rFonts w:eastAsia="黑体"/>
                <w:color w:val="auto"/>
                <w:szCs w:val="21"/>
                <w:highlight w:val="none"/>
              </w:rPr>
            </w:pPr>
          </w:p>
        </w:tc>
        <w:tc>
          <w:tcPr>
            <w:tcW w:w="2297" w:type="dxa"/>
            <w:gridSpan w:val="2"/>
            <w:vAlign w:val="center"/>
          </w:tcPr>
          <w:p>
            <w:pPr>
              <w:spacing w:line="440" w:lineRule="exact"/>
              <w:rPr>
                <w:rFonts w:eastAsia="黑体"/>
                <w:color w:val="auto"/>
                <w:szCs w:val="21"/>
                <w:highlight w:val="none"/>
              </w:rPr>
            </w:pPr>
          </w:p>
        </w:tc>
      </w:tr>
    </w:tbl>
    <w:p>
      <w:pPr>
        <w:spacing w:line="400" w:lineRule="exact"/>
        <w:rPr>
          <w:color w:val="auto"/>
          <w:highlight w:val="none"/>
        </w:rPr>
      </w:pPr>
      <w:bookmarkStart w:id="1092" w:name="_Toc290624309"/>
      <w:bookmarkStart w:id="1093" w:name="_Toc151193963"/>
      <w:bookmarkStart w:id="1094" w:name="_Toc297707357"/>
      <w:bookmarkStart w:id="1095" w:name="_Toc195842943"/>
      <w:bookmarkStart w:id="1096" w:name="_Toc150774776"/>
      <w:r>
        <w:rPr>
          <w:rFonts w:hint="eastAsia"/>
          <w:color w:val="auto"/>
          <w:highlight w:val="none"/>
        </w:rPr>
        <w:t>注：“主要人员简历表”中的项目经理应附项目经理证、身份证、职称证、学历证、执业资格证复印件、项目业绩证明文件；技术负责人应附身份证、职称证、学历证复印件、项目业绩证明文件；其他主要人员应附职称证（执业证或上岗证书）等证明文件。</w:t>
      </w:r>
      <w:bookmarkEnd w:id="1092"/>
      <w:bookmarkEnd w:id="1093"/>
      <w:bookmarkEnd w:id="1094"/>
      <w:bookmarkEnd w:id="1095"/>
      <w:bookmarkEnd w:id="1096"/>
    </w:p>
    <w:p>
      <w:pPr>
        <w:pStyle w:val="4"/>
        <w:rPr>
          <w:rFonts w:ascii="Times New Roman" w:hAnsi="Times New Roman"/>
          <w:b w:val="0"/>
          <w:bCs w:val="0"/>
          <w:color w:val="auto"/>
          <w:kern w:val="2"/>
          <w:highlight w:val="none"/>
        </w:rPr>
      </w:pPr>
      <w:r>
        <w:rPr>
          <w:rFonts w:ascii="Times New Roman" w:hAnsi="Times New Roman"/>
          <w:color w:val="auto"/>
          <w:highlight w:val="none"/>
        </w:rPr>
        <w:br w:type="page"/>
      </w:r>
      <w:bookmarkStart w:id="1097" w:name="_Toc462066519"/>
      <w:bookmarkStart w:id="1098" w:name="_Toc462069453"/>
      <w:bookmarkStart w:id="1099" w:name="_Toc443397280"/>
      <w:bookmarkStart w:id="1100" w:name="_Toc518557377"/>
      <w:r>
        <w:rPr>
          <w:rFonts w:ascii="Times New Roman" w:hAnsi="Times New Roman"/>
          <w:color w:val="auto"/>
          <w:highlight w:val="none"/>
        </w:rPr>
        <w:t>附件</w:t>
      </w:r>
      <w:r>
        <w:rPr>
          <w:rFonts w:hint="eastAsia" w:ascii="Times New Roman" w:hAnsi="Times New Roman"/>
          <w:color w:val="auto"/>
          <w:highlight w:val="none"/>
        </w:rPr>
        <w:t>7</w:t>
      </w:r>
      <w:r>
        <w:rPr>
          <w:rFonts w:ascii="Times New Roman" w:hAnsi="Times New Roman"/>
          <w:color w:val="auto"/>
          <w:highlight w:val="none"/>
        </w:rPr>
        <w:t>-</w:t>
      </w:r>
      <w:bookmarkEnd w:id="1097"/>
      <w:bookmarkEnd w:id="1098"/>
      <w:bookmarkEnd w:id="1099"/>
      <w:r>
        <w:rPr>
          <w:rFonts w:hint="eastAsia" w:ascii="Times New Roman" w:hAnsi="Times New Roman"/>
          <w:color w:val="auto"/>
          <w:highlight w:val="none"/>
        </w:rPr>
        <w:t>2</w:t>
      </w:r>
      <w:r>
        <w:rPr>
          <w:rFonts w:hint="eastAsia" w:ascii="Times New Roman"/>
          <w:color w:val="auto"/>
          <w:highlight w:val="none"/>
        </w:rPr>
        <w:t>保修期服务</w:t>
      </w:r>
      <w:r>
        <w:rPr>
          <w:rFonts w:ascii="Times New Roman"/>
          <w:color w:val="auto"/>
          <w:highlight w:val="none"/>
        </w:rPr>
        <w:t>承诺</w:t>
      </w:r>
      <w:bookmarkEnd w:id="1100"/>
    </w:p>
    <w:p>
      <w:pPr>
        <w:rPr>
          <w:color w:val="auto"/>
          <w:highlight w:val="none"/>
        </w:rPr>
      </w:pPr>
    </w:p>
    <w:p>
      <w:pPr>
        <w:pStyle w:val="4"/>
        <w:rPr>
          <w:color w:val="auto"/>
          <w:highlight w:val="none"/>
        </w:rPr>
      </w:pPr>
      <w:r>
        <w:rPr>
          <w:rFonts w:ascii="Times New Roman" w:hAnsi="Times New Roman"/>
          <w:color w:val="auto"/>
          <w:highlight w:val="none"/>
        </w:rPr>
        <w:br w:type="page"/>
      </w:r>
      <w:bookmarkEnd w:id="934"/>
      <w:bookmarkEnd w:id="935"/>
      <w:bookmarkStart w:id="1101" w:name="_Toc205612719"/>
      <w:bookmarkStart w:id="1102" w:name="_Toc205612648"/>
      <w:bookmarkStart w:id="1103" w:name="_Toc202069436"/>
    </w:p>
    <w:p>
      <w:pPr>
        <w:pStyle w:val="4"/>
        <w:rPr>
          <w:rFonts w:ascii="Times New Roman" w:hAnsi="Times New Roman"/>
          <w:color w:val="auto"/>
          <w:highlight w:val="none"/>
        </w:rPr>
      </w:pPr>
      <w:bookmarkStart w:id="1104" w:name="_Toc518557378"/>
      <w:bookmarkStart w:id="1105" w:name="_Toc462066510"/>
      <w:bookmarkStart w:id="1106" w:name="_Toc462069444"/>
      <w:bookmarkStart w:id="1107" w:name="_Toc453622080"/>
      <w:bookmarkStart w:id="1108" w:name="_Toc320542329"/>
      <w:bookmarkStart w:id="1109" w:name="_Toc358023466"/>
      <w:bookmarkStart w:id="1110" w:name="_Toc358013888"/>
      <w:bookmarkStart w:id="1111" w:name="_Toc428444072"/>
      <w:bookmarkStart w:id="1112" w:name="_Toc462066521"/>
      <w:bookmarkStart w:id="1113" w:name="_Toc320476239"/>
      <w:bookmarkStart w:id="1114" w:name="_Toc453622088"/>
      <w:bookmarkStart w:id="1115" w:name="_Toc443397284"/>
      <w:bookmarkStart w:id="1116" w:name="_Toc462069455"/>
      <w:bookmarkStart w:id="1117" w:name="_Toc432430532"/>
      <w:bookmarkStart w:id="1118" w:name="_Toc372275512"/>
      <w:r>
        <w:rPr>
          <w:rFonts w:ascii="Times New Roman" w:hAnsi="Times New Roman"/>
          <w:color w:val="auto"/>
          <w:highlight w:val="none"/>
        </w:rPr>
        <w:t>附件</w:t>
      </w:r>
      <w:r>
        <w:rPr>
          <w:rFonts w:hint="eastAsia" w:ascii="Times New Roman" w:hAnsi="Times New Roman"/>
          <w:color w:val="auto"/>
          <w:highlight w:val="none"/>
        </w:rPr>
        <w:t>8-1</w:t>
      </w:r>
      <w:r>
        <w:rPr>
          <w:rFonts w:ascii="Times New Roman" w:hAnsi="Times New Roman"/>
          <w:color w:val="auto"/>
          <w:highlight w:val="none"/>
        </w:rPr>
        <w:t>中小企业声明函及声明函附件</w:t>
      </w:r>
      <w:bookmarkEnd w:id="1104"/>
      <w:bookmarkEnd w:id="1105"/>
      <w:bookmarkEnd w:id="1106"/>
      <w:bookmarkEnd w:id="1107"/>
    </w:p>
    <w:p>
      <w:pPr>
        <w:pStyle w:val="155"/>
        <w:rPr>
          <w:rFonts w:ascii="Times New Roman" w:hAnsi="Times New Roman"/>
          <w:color w:val="auto"/>
          <w:highlight w:val="none"/>
        </w:rPr>
      </w:pPr>
      <w:r>
        <w:rPr>
          <w:rFonts w:ascii="Times New Roman" w:hAnsi="Times New Roman"/>
          <w:color w:val="auto"/>
          <w:highlight w:val="none"/>
        </w:rPr>
        <w:t>中小企业声明函格式</w:t>
      </w:r>
    </w:p>
    <w:p>
      <w:pPr>
        <w:rPr>
          <w:color w:val="auto"/>
          <w:highlight w:val="none"/>
        </w:rPr>
      </w:pPr>
      <w:r>
        <w:rPr>
          <w:color w:val="auto"/>
          <w:highlight w:val="none"/>
        </w:rPr>
        <w:t>本公司郑重声明，根据《政府采购促进中小企业发展暂行办法》（财库[2011]181号）的规定，本公司为______（请填写：中型、小型、微型）企业。即，本公司同时满足以下条件：</w:t>
      </w:r>
      <w:r>
        <w:rPr>
          <w:color w:val="auto"/>
          <w:highlight w:val="none"/>
        </w:rPr>
        <w:br w:type="textWrapping"/>
      </w:r>
      <w:r>
        <w:rPr>
          <w:color w:val="auto"/>
          <w:highlight w:val="none"/>
        </w:rPr>
        <w:t>　　1.根据《工业和信息化部、国家统计局、国家发展和改革委员会、财政部关于印发中小企业划型标准规定的通知》（工信部联企业[2011]300号）规定的划分标准，本公司为______（请填写：中型、小型、微型）企业。</w:t>
      </w:r>
      <w:r>
        <w:rPr>
          <w:color w:val="auto"/>
          <w:highlight w:val="none"/>
        </w:rPr>
        <w:br w:type="textWrapping"/>
      </w:r>
      <w:r>
        <w:rPr>
          <w:color w:val="auto"/>
          <w:highlight w:val="none"/>
        </w:rPr>
        <w:t>　　2.本公司参加______单位的______项目采购活动提供本企业制造的货物，由本企业承担项目、提供服务，或者提供其他______（请填写：中型、小型、微型）企业制造的货物。本条所称货物不包括使用大型企业注册商标的货物。</w:t>
      </w:r>
      <w:r>
        <w:rPr>
          <w:color w:val="auto"/>
          <w:highlight w:val="none"/>
        </w:rPr>
        <w:br w:type="textWrapping"/>
      </w:r>
      <w:r>
        <w:rPr>
          <w:color w:val="auto"/>
          <w:highlight w:val="none"/>
        </w:rPr>
        <w:t>　　本公司对上述声明的真实性负责。如有虚假，将依法承担相应责任。</w:t>
      </w:r>
    </w:p>
    <w:p>
      <w:pPr>
        <w:rPr>
          <w:color w:val="auto"/>
          <w:highlight w:val="none"/>
        </w:rPr>
      </w:pPr>
      <w:r>
        <w:rPr>
          <w:color w:val="auto"/>
          <w:highlight w:val="none"/>
        </w:rPr>
        <w:t>附：声明函附件</w:t>
      </w:r>
    </w:p>
    <w:p>
      <w:pPr>
        <w:rPr>
          <w:color w:val="auto"/>
          <w:highlight w:val="none"/>
        </w:rPr>
      </w:pPr>
      <w:r>
        <w:rPr>
          <w:color w:val="auto"/>
          <w:highlight w:val="none"/>
        </w:rPr>
        <w:t>企业名称（盖章）：___________________</w:t>
      </w:r>
    </w:p>
    <w:p>
      <w:pPr>
        <w:rPr>
          <w:color w:val="auto"/>
          <w:highlight w:val="none"/>
        </w:rPr>
      </w:pPr>
      <w:r>
        <w:rPr>
          <w:color w:val="auto"/>
          <w:highlight w:val="none"/>
        </w:rPr>
        <w:t>日期：___________________</w:t>
      </w:r>
    </w:p>
    <w:p>
      <w:pPr>
        <w:pStyle w:val="157"/>
        <w:spacing w:before="156" w:after="156"/>
        <w:rPr>
          <w:color w:val="auto"/>
          <w:highlight w:val="none"/>
        </w:rPr>
      </w:pPr>
      <w:r>
        <w:rPr>
          <w:color w:val="auto"/>
          <w:highlight w:val="none"/>
        </w:rPr>
        <w:t>附：声明函附件（须说明供应商/产品制造商的从业人员、营业收入或资产总额等相关情况）</w:t>
      </w:r>
    </w:p>
    <w:tbl>
      <w:tblPr>
        <w:tblStyle w:val="4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30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77"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供应商基本情况</w:t>
            </w:r>
          </w:p>
        </w:tc>
        <w:tc>
          <w:tcPr>
            <w:tcW w:w="3039" w:type="dxa"/>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小微企业划型标准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供应商名称</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restart"/>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根据《关于印发中小企业划型标准规定的通知---工信部联企业[2011]300号》文件，供应商所属行业为____业，小微企业划型标准为：_____________________。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从业人员（人)</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营业收入/资产总额（万元)</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是否符合小微企业条件</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本项目中涉及小微企业的产品/服务的名称、价格</w:t>
            </w:r>
          </w:p>
        </w:tc>
        <w:tc>
          <w:tcPr>
            <w:tcW w:w="6080" w:type="dxa"/>
            <w:gridSpan w:val="2"/>
            <w:shd w:val="clear" w:color="auto" w:fill="auto"/>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077" w:type="dxa"/>
            <w:gridSpan w:val="2"/>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产品制造商基本情况（如有）</w:t>
            </w:r>
          </w:p>
        </w:tc>
        <w:tc>
          <w:tcPr>
            <w:tcW w:w="3039" w:type="dxa"/>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小微企业划型标准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供应商名称</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restart"/>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根据《关于印发中小企业划型标准规定的通知---工信部联企业[2011]300号》文件，制造商所属行业为____业，小微企业划型标准为：_____________________。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从业人员（人)</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营业收入/资产总额（万元)</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036" w:type="dxa"/>
            <w:shd w:val="clear" w:color="auto" w:fill="auto"/>
            <w:vAlign w:val="center"/>
          </w:tcPr>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是否符合小微企业条件</w:t>
            </w:r>
          </w:p>
        </w:tc>
        <w:tc>
          <w:tcPr>
            <w:tcW w:w="3041" w:type="dxa"/>
            <w:shd w:val="clear" w:color="auto" w:fill="auto"/>
            <w:vAlign w:val="center"/>
          </w:tcPr>
          <w:p>
            <w:pPr>
              <w:pStyle w:val="145"/>
              <w:rPr>
                <w:rFonts w:ascii="Times New Roman" w:hAnsi="Times New Roman"/>
                <w:color w:val="auto"/>
                <w:sz w:val="24"/>
                <w:szCs w:val="24"/>
                <w:highlight w:val="none"/>
              </w:rPr>
            </w:pPr>
          </w:p>
        </w:tc>
        <w:tc>
          <w:tcPr>
            <w:tcW w:w="3039" w:type="dxa"/>
            <w:vMerge w:val="continue"/>
            <w:vAlign w:val="center"/>
          </w:tcPr>
          <w:p>
            <w:pPr>
              <w:pStyle w:val="145"/>
              <w:rPr>
                <w:rFonts w:ascii="Times New Roman" w:hAnsi="Times New Roman"/>
                <w:color w:val="auto"/>
                <w:sz w:val="24"/>
                <w:szCs w:val="24"/>
                <w:highlight w:val="none"/>
              </w:rPr>
            </w:pPr>
          </w:p>
        </w:tc>
      </w:tr>
    </w:tbl>
    <w:p>
      <w:pPr>
        <w:pStyle w:val="4"/>
        <w:rPr>
          <w:rFonts w:ascii="Times New Roman" w:hAnsi="Times New Roman"/>
          <w:color w:val="auto"/>
          <w:highlight w:val="none"/>
        </w:rPr>
      </w:pPr>
      <w:bookmarkStart w:id="1119" w:name="_Toc518557379"/>
      <w:r>
        <w:rPr>
          <w:rFonts w:ascii="Times New Roman" w:hAnsi="Times New Roman"/>
          <w:color w:val="auto"/>
          <w:highlight w:val="none"/>
        </w:rPr>
        <w:t>附件</w:t>
      </w:r>
      <w:r>
        <w:rPr>
          <w:rFonts w:hint="eastAsia" w:ascii="Times New Roman" w:hAnsi="Times New Roman"/>
          <w:color w:val="auto"/>
          <w:highlight w:val="none"/>
        </w:rPr>
        <w:t>8-2残疾人福利性单位声明函格式</w:t>
      </w:r>
      <w:bookmarkEnd w:id="1119"/>
    </w:p>
    <w:p>
      <w:pPr>
        <w:spacing w:beforeLines="100" w:afterLines="100"/>
        <w:ind w:firstLine="482"/>
        <w:jc w:val="center"/>
        <w:rPr>
          <w:rFonts w:eastAsia="仿宋_GB2312"/>
          <w:color w:val="auto"/>
          <w:highlight w:val="none"/>
        </w:rPr>
      </w:pPr>
      <w:r>
        <w:rPr>
          <w:rFonts w:hint="eastAsia" w:ascii="宋体" w:hAnsi="宋体"/>
          <w:b/>
          <w:bCs/>
          <w:color w:val="auto"/>
          <w:highlight w:val="none"/>
        </w:rPr>
        <w:t>残疾人福利性单位声明函</w:t>
      </w:r>
      <w:r>
        <w:rPr>
          <w:rFonts w:ascii="宋体" w:hAnsi="宋体"/>
          <w:b/>
          <w:bCs/>
          <w:color w:val="auto"/>
          <w:highlight w:val="none"/>
        </w:rPr>
        <w:t>格式</w:t>
      </w:r>
    </w:p>
    <w:p>
      <w:pPr>
        <w:spacing w:line="588" w:lineRule="exact"/>
        <w:ind w:firstLine="504"/>
        <w:rPr>
          <w:rFonts w:ascii="宋体" w:hAnsi="宋体"/>
          <w:color w:val="auto"/>
          <w:spacing w:val="6"/>
          <w:highlight w:val="none"/>
        </w:rPr>
      </w:pPr>
      <w:r>
        <w:rPr>
          <w:rFonts w:hint="eastAsia" w:ascii="宋体" w:hAnsi="宋体"/>
          <w:color w:val="auto"/>
          <w:spacing w:val="6"/>
          <w:highlight w:val="none"/>
        </w:rPr>
        <w:t>本单位郑重声明，根据《财政部 民政部 中国残疾人联合会关于促进残疾人就业政府采购政策的通知》（财库</w:t>
      </w:r>
      <w:r>
        <w:rPr>
          <w:rFonts w:hint="eastAsia" w:ascii="宋体" w:hAnsi="宋体"/>
          <w:color w:val="auto"/>
          <w:highlight w:val="none"/>
        </w:rPr>
        <w:t>〔2017〕 141</w:t>
      </w:r>
      <w:r>
        <w:rPr>
          <w:rFonts w:hint="eastAsia" w:ascii="宋体" w:hAnsi="宋体"/>
          <w:color w:val="auto"/>
          <w:spacing w:val="6"/>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rPr>
          <w:rFonts w:ascii="宋体" w:hAnsi="宋体"/>
          <w:color w:val="auto"/>
          <w:spacing w:val="6"/>
          <w:highlight w:val="none"/>
        </w:rPr>
      </w:pPr>
      <w:r>
        <w:rPr>
          <w:rFonts w:hint="eastAsia" w:ascii="宋体" w:hAnsi="宋体"/>
          <w:color w:val="auto"/>
          <w:spacing w:val="6"/>
          <w:highlight w:val="none"/>
        </w:rPr>
        <w:t>本单位对上述声明的真实性负责。如有虚假，将依法承担相应责任。</w:t>
      </w:r>
    </w:p>
    <w:p>
      <w:pPr>
        <w:spacing w:line="588" w:lineRule="exact"/>
        <w:ind w:firstLine="504"/>
        <w:rPr>
          <w:rFonts w:ascii="宋体" w:hAnsi="宋体"/>
          <w:color w:val="auto"/>
          <w:spacing w:val="6"/>
          <w:highlight w:val="none"/>
        </w:rPr>
      </w:pPr>
    </w:p>
    <w:p>
      <w:pPr>
        <w:spacing w:line="588" w:lineRule="exact"/>
        <w:ind w:firstLine="504"/>
        <w:rPr>
          <w:rFonts w:ascii="宋体" w:hAnsi="宋体"/>
          <w:color w:val="auto"/>
          <w:spacing w:val="6"/>
          <w:highlight w:val="none"/>
        </w:rPr>
      </w:pPr>
    </w:p>
    <w:p>
      <w:pPr>
        <w:tabs>
          <w:tab w:val="left" w:pos="4860"/>
        </w:tabs>
        <w:spacing w:line="588" w:lineRule="exact"/>
        <w:ind w:right="1560" w:firstLine="504"/>
        <w:jc w:val="center"/>
        <w:rPr>
          <w:rFonts w:ascii="宋体" w:hAnsi="宋体"/>
          <w:color w:val="auto"/>
          <w:spacing w:val="6"/>
          <w:highlight w:val="none"/>
        </w:rPr>
      </w:pPr>
      <w:r>
        <w:rPr>
          <w:rFonts w:hint="eastAsia" w:ascii="宋体" w:hAnsi="宋体"/>
          <w:color w:val="auto"/>
          <w:spacing w:val="6"/>
          <w:highlight w:val="none"/>
        </w:rPr>
        <w:t xml:space="preserve">               单位名称（盖章）：</w:t>
      </w:r>
    </w:p>
    <w:p>
      <w:pPr>
        <w:tabs>
          <w:tab w:val="left" w:pos="4860"/>
        </w:tabs>
        <w:spacing w:line="588" w:lineRule="exact"/>
        <w:ind w:right="1560" w:firstLine="504"/>
        <w:jc w:val="center"/>
        <w:rPr>
          <w:rFonts w:ascii="宋体" w:hAnsi="宋体"/>
          <w:color w:val="auto"/>
          <w:spacing w:val="6"/>
          <w:highlight w:val="none"/>
        </w:rPr>
      </w:pPr>
      <w:r>
        <w:rPr>
          <w:rFonts w:hint="eastAsia" w:ascii="宋体" w:hAnsi="宋体"/>
          <w:color w:val="auto"/>
          <w:spacing w:val="6"/>
          <w:highlight w:val="none"/>
        </w:rPr>
        <w:t xml:space="preserve">       日  期：</w:t>
      </w:r>
    </w:p>
    <w:p>
      <w:pPr>
        <w:widowControl/>
        <w:adjustRightInd/>
        <w:spacing w:line="240" w:lineRule="auto"/>
        <w:ind w:firstLine="0" w:firstLineChars="0"/>
        <w:textAlignment w:val="auto"/>
        <w:rPr>
          <w:color w:val="auto"/>
          <w:highlight w:val="none"/>
        </w:rPr>
      </w:pPr>
    </w:p>
    <w:p>
      <w:pPr>
        <w:widowControl/>
        <w:adjustRightInd/>
        <w:spacing w:line="240" w:lineRule="auto"/>
        <w:ind w:firstLine="0" w:firstLineChars="0"/>
        <w:textAlignment w:val="auto"/>
        <w:rPr>
          <w:color w:val="auto"/>
          <w:highlight w:val="none"/>
        </w:rPr>
      </w:pPr>
    </w:p>
    <w:p>
      <w:pPr>
        <w:widowControl/>
        <w:adjustRightInd/>
        <w:spacing w:line="240" w:lineRule="auto"/>
        <w:ind w:firstLine="0" w:firstLineChars="0"/>
        <w:textAlignment w:val="auto"/>
        <w:rPr>
          <w:b/>
          <w:bCs/>
          <w:color w:val="auto"/>
          <w:szCs w:val="24"/>
          <w:highlight w:val="none"/>
        </w:rPr>
      </w:pPr>
      <w:r>
        <w:rPr>
          <w:rFonts w:hint="eastAsia"/>
          <w:color w:val="auto"/>
          <w:highlight w:val="none"/>
        </w:rPr>
        <w:t>注：如供应商为</w:t>
      </w:r>
      <w:r>
        <w:rPr>
          <w:rFonts w:hint="eastAsia" w:ascii="宋体" w:hAnsi="宋体"/>
          <w:color w:val="auto"/>
          <w:spacing w:val="6"/>
          <w:highlight w:val="none"/>
        </w:rPr>
        <w:t>符合条件的残疾人福利性单位，填写上表，否则无须提供。</w:t>
      </w:r>
      <w:r>
        <w:rPr>
          <w:color w:val="auto"/>
          <w:highlight w:val="none"/>
        </w:rPr>
        <w:br w:type="page"/>
      </w:r>
    </w:p>
    <w:p>
      <w:pPr>
        <w:pStyle w:val="4"/>
        <w:rPr>
          <w:rFonts w:ascii="Times New Roman" w:hAnsi="Times New Roman"/>
          <w:color w:val="auto"/>
          <w:highlight w:val="none"/>
        </w:rPr>
      </w:pPr>
      <w:bookmarkStart w:id="1120" w:name="_Toc518557380"/>
      <w:r>
        <w:rPr>
          <w:rFonts w:ascii="Times New Roman" w:hAnsi="Times New Roman"/>
          <w:color w:val="auto"/>
          <w:highlight w:val="none"/>
        </w:rPr>
        <w:t>附件</w:t>
      </w:r>
      <w:bookmarkEnd w:id="1108"/>
      <w:bookmarkEnd w:id="1109"/>
      <w:bookmarkEnd w:id="1110"/>
      <w:bookmarkEnd w:id="1111"/>
      <w:bookmarkEnd w:id="1112"/>
      <w:bookmarkEnd w:id="1113"/>
      <w:bookmarkEnd w:id="1114"/>
      <w:bookmarkEnd w:id="1115"/>
      <w:bookmarkEnd w:id="1116"/>
      <w:bookmarkEnd w:id="1117"/>
      <w:bookmarkEnd w:id="1118"/>
      <w:r>
        <w:rPr>
          <w:rFonts w:hint="eastAsia" w:ascii="Times New Roman" w:hAnsi="Times New Roman"/>
          <w:color w:val="auto"/>
          <w:highlight w:val="none"/>
        </w:rPr>
        <w:t>9 政府采购担保函格式（供应商可自愿选择是否采用）</w:t>
      </w:r>
      <w:bookmarkEnd w:id="1120"/>
    </w:p>
    <w:bookmarkEnd w:id="1101"/>
    <w:bookmarkEnd w:id="1102"/>
    <w:bookmarkEnd w:id="1103"/>
    <w:p>
      <w:pPr>
        <w:widowControl/>
        <w:spacing w:before="100" w:beforeAutospacing="1" w:after="100" w:afterAutospacing="1" w:line="432" w:lineRule="auto"/>
        <w:ind w:firstLine="482"/>
        <w:jc w:val="center"/>
        <w:rPr>
          <w:rFonts w:ascii="宋体" w:hAnsi="宋体" w:cs="Arial"/>
          <w:b/>
          <w:bCs/>
          <w:color w:val="auto"/>
          <w:highlight w:val="none"/>
        </w:rPr>
      </w:pPr>
      <w:bookmarkStart w:id="1121" w:name="_Toc424300153"/>
      <w:bookmarkStart w:id="1122" w:name="_Toc368053164"/>
      <w:bookmarkStart w:id="1123" w:name="_Toc432430535"/>
      <w:bookmarkStart w:id="1124" w:name="_Toc462066522"/>
      <w:bookmarkStart w:id="1125" w:name="_Toc462069456"/>
      <w:bookmarkStart w:id="1126" w:name="_Toc443397287"/>
      <w:bookmarkStart w:id="1127" w:name="_Toc453622089"/>
      <w:r>
        <w:rPr>
          <w:rFonts w:hint="eastAsia" w:ascii="宋体" w:hAnsi="宋体" w:cs="Arial"/>
          <w:b/>
          <w:bCs/>
          <w:color w:val="auto"/>
          <w:highlight w:val="none"/>
        </w:rPr>
        <w:t>政府采购履约担保函（项目用）</w:t>
      </w:r>
    </w:p>
    <w:p>
      <w:pPr>
        <w:rPr>
          <w:color w:val="auto"/>
          <w:highlight w:val="none"/>
        </w:rPr>
      </w:pPr>
      <w:r>
        <w:rPr>
          <w:rFonts w:hint="eastAsia"/>
          <w:color w:val="auto"/>
          <w:highlight w:val="none"/>
        </w:rPr>
        <w:t>编号：</w:t>
      </w:r>
    </w:p>
    <w:p>
      <w:pPr>
        <w:rPr>
          <w:color w:val="auto"/>
          <w:highlight w:val="none"/>
        </w:rPr>
      </w:pPr>
      <w:r>
        <w:rPr>
          <w:rFonts w:hint="eastAsia"/>
          <w:color w:val="auto"/>
          <w:highlight w:val="none"/>
        </w:rPr>
        <w:t>（采购人）：</w:t>
      </w:r>
    </w:p>
    <w:p>
      <w:pPr>
        <w:rPr>
          <w:color w:val="auto"/>
          <w:highlight w:val="none"/>
        </w:rPr>
      </w:pPr>
      <w:r>
        <w:rPr>
          <w:rFonts w:hint="eastAsia"/>
          <w:color w:val="auto"/>
          <w:highlight w:val="none"/>
        </w:rPr>
        <w:t>鉴于你方与（以下简称供应商）于年月日签订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ind w:firstLine="482"/>
        <w:rPr>
          <w:b/>
          <w:color w:val="auto"/>
          <w:highlight w:val="none"/>
        </w:rPr>
      </w:pPr>
      <w:r>
        <w:rPr>
          <w:rFonts w:hint="eastAsia"/>
          <w:b/>
          <w:color w:val="auto"/>
          <w:highlight w:val="none"/>
        </w:rPr>
        <w:t>一、保证责任的情形及保证金额</w:t>
      </w:r>
    </w:p>
    <w:p>
      <w:pPr>
        <w:rPr>
          <w:color w:val="auto"/>
          <w:highlight w:val="none"/>
        </w:rPr>
      </w:pPr>
      <w:r>
        <w:rPr>
          <w:rFonts w:hint="eastAsia"/>
          <w:color w:val="auto"/>
          <w:highlight w:val="none"/>
        </w:rPr>
        <w:t>（一）在供应商出现下列情形之一时，我方承担保证责任：</w:t>
      </w:r>
    </w:p>
    <w:p>
      <w:pPr>
        <w:rPr>
          <w:color w:val="auto"/>
          <w:highlight w:val="none"/>
        </w:rPr>
      </w:pPr>
      <w:r>
        <w:rPr>
          <w:rFonts w:hint="eastAsia"/>
          <w:color w:val="auto"/>
          <w:highlight w:val="none"/>
        </w:rPr>
        <w:t>1．将中标项目转让给他人，或者在投标文件中未说明，且未经采购人同意，将中标项目分包给他人的；</w:t>
      </w:r>
    </w:p>
    <w:p>
      <w:pPr>
        <w:rPr>
          <w:color w:val="auto"/>
          <w:highlight w:val="none"/>
        </w:rPr>
      </w:pPr>
      <w:r>
        <w:rPr>
          <w:rFonts w:hint="eastAsia"/>
          <w:color w:val="auto"/>
          <w:highlight w:val="none"/>
        </w:rPr>
        <w:t xml:space="preserve">　　2．主合同约定的应当缴纳履约保证金的情形: </w:t>
      </w:r>
    </w:p>
    <w:p>
      <w:pPr>
        <w:rPr>
          <w:color w:val="auto"/>
          <w:highlight w:val="none"/>
        </w:rPr>
      </w:pPr>
      <w:r>
        <w:rPr>
          <w:rFonts w:hint="eastAsia"/>
          <w:color w:val="auto"/>
          <w:highlight w:val="none"/>
        </w:rPr>
        <w:t>（1）未按主合同约定的质量、数量和期限供应货物/提供服务/完成工程的；</w:t>
      </w:r>
    </w:p>
    <w:p>
      <w:pPr>
        <w:rPr>
          <w:color w:val="auto"/>
          <w:highlight w:val="none"/>
        </w:rPr>
      </w:pPr>
      <w:r>
        <w:rPr>
          <w:rFonts w:hint="eastAsia"/>
          <w:color w:val="auto"/>
          <w:highlight w:val="none"/>
        </w:rPr>
        <w:t>（2）。</w:t>
      </w:r>
    </w:p>
    <w:p>
      <w:pPr>
        <w:rPr>
          <w:color w:val="auto"/>
          <w:highlight w:val="none"/>
        </w:rPr>
      </w:pPr>
      <w:r>
        <w:rPr>
          <w:rFonts w:hint="eastAsia"/>
          <w:color w:val="auto"/>
          <w:highlight w:val="none"/>
        </w:rPr>
        <w:t>（二）我方的保证范围是主合同约定的合同价款总额的%数额为元（大写），币种为。（即主合同履约保证金金额）</w:t>
      </w:r>
    </w:p>
    <w:p>
      <w:pPr>
        <w:ind w:firstLine="482"/>
        <w:rPr>
          <w:b/>
          <w:color w:val="auto"/>
          <w:highlight w:val="none"/>
        </w:rPr>
      </w:pPr>
      <w:r>
        <w:rPr>
          <w:rFonts w:hint="eastAsia"/>
          <w:b/>
          <w:color w:val="auto"/>
          <w:highlight w:val="none"/>
        </w:rPr>
        <w:t>二、保证的方式及保证期间</w:t>
      </w:r>
    </w:p>
    <w:p>
      <w:pPr>
        <w:rPr>
          <w:color w:val="auto"/>
          <w:highlight w:val="none"/>
        </w:rPr>
      </w:pPr>
      <w:r>
        <w:rPr>
          <w:rFonts w:hint="eastAsia"/>
          <w:color w:val="auto"/>
          <w:highlight w:val="none"/>
        </w:rPr>
        <w:t>我方保证的方式为：连带责任保证。</w:t>
      </w:r>
    </w:p>
    <w:p>
      <w:pPr>
        <w:rPr>
          <w:color w:val="auto"/>
          <w:highlight w:val="none"/>
        </w:rPr>
      </w:pPr>
      <w:r>
        <w:rPr>
          <w:rFonts w:hint="eastAsia"/>
          <w:color w:val="auto"/>
          <w:highlight w:val="none"/>
        </w:rPr>
        <w:t>我方保证的期间为：自本合同生效之日起至供应商按照主合同约定的供货/完工期限届满后日内。</w:t>
      </w:r>
    </w:p>
    <w:p>
      <w:pPr>
        <w:rPr>
          <w:color w:val="auto"/>
          <w:highlight w:val="none"/>
        </w:rPr>
      </w:pPr>
      <w:r>
        <w:rPr>
          <w:rFonts w:hint="eastAsia"/>
          <w:color w:val="auto"/>
          <w:highlight w:val="none"/>
        </w:rPr>
        <w:t>如果供应商未按主合同约定向贵方供应货物/提供服务/完成工程的，由我方在保证金额内向你方支付上述款项。</w:t>
      </w:r>
    </w:p>
    <w:p>
      <w:pPr>
        <w:ind w:firstLine="482"/>
        <w:rPr>
          <w:b/>
          <w:color w:val="auto"/>
          <w:highlight w:val="none"/>
        </w:rPr>
      </w:pPr>
      <w:r>
        <w:rPr>
          <w:rFonts w:hint="eastAsia"/>
          <w:b/>
          <w:color w:val="auto"/>
          <w:highlight w:val="none"/>
        </w:rPr>
        <w:t>三、承担保证责任的程序</w:t>
      </w:r>
    </w:p>
    <w:p>
      <w:pPr>
        <w:rPr>
          <w:color w:val="auto"/>
          <w:highlight w:val="none"/>
        </w:rPr>
      </w:pPr>
      <w:r>
        <w:rPr>
          <w:rFonts w:hint="eastAsia"/>
          <w:color w:val="auto"/>
          <w:highlight w:val="none"/>
        </w:rPr>
        <w:t>1．你方要求我方承担保证责任的，应在本保函保证期间内向我方发出书面索赔通知。索赔通知应写明要求索赔的金额，支付款项应到达的账号。并附有证明供应商违约事实的证明材料。</w:t>
      </w:r>
    </w:p>
    <w:p>
      <w:pPr>
        <w:rPr>
          <w:color w:val="auto"/>
          <w:highlight w:val="none"/>
        </w:rPr>
      </w:pPr>
      <w:r>
        <w:rPr>
          <w:rFonts w:hint="eastAsia"/>
          <w:color w:val="auto"/>
          <w:highlight w:val="none"/>
        </w:rPr>
        <w:t>如果你方与供应商因货物质量问题产生争议，你方还需同时提供部门出具的质量检测报告，或经诉讼（仲裁）程序裁决后的裁决书、调解书，本保证人即按照检测结果或裁决书、调解书决定是否承担保证责任。</w:t>
      </w:r>
    </w:p>
    <w:p>
      <w:pPr>
        <w:rPr>
          <w:color w:val="auto"/>
          <w:highlight w:val="none"/>
        </w:rPr>
      </w:pPr>
      <w:r>
        <w:rPr>
          <w:rFonts w:hint="eastAsia"/>
          <w:color w:val="auto"/>
          <w:highlight w:val="none"/>
        </w:rPr>
        <w:t>2．我方收到你方的书面索赔通知及相应证明材料，在工作日内进行核定后按照本保函的承诺承担保证责任。</w:t>
      </w:r>
    </w:p>
    <w:p>
      <w:pPr>
        <w:ind w:firstLine="482"/>
        <w:rPr>
          <w:b/>
          <w:color w:val="auto"/>
          <w:highlight w:val="none"/>
        </w:rPr>
      </w:pPr>
      <w:r>
        <w:rPr>
          <w:rFonts w:hint="eastAsia"/>
          <w:b/>
          <w:color w:val="auto"/>
          <w:highlight w:val="none"/>
        </w:rPr>
        <w:t>四、保证责任的终止</w:t>
      </w:r>
    </w:p>
    <w:p>
      <w:pPr>
        <w:rPr>
          <w:color w:val="auto"/>
          <w:highlight w:val="none"/>
        </w:rPr>
      </w:pPr>
      <w:r>
        <w:rPr>
          <w:rFonts w:hint="eastAsia"/>
          <w:color w:val="auto"/>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rPr>
          <w:color w:val="auto"/>
          <w:highlight w:val="none"/>
        </w:rPr>
      </w:pPr>
      <w:r>
        <w:rPr>
          <w:rFonts w:hint="eastAsia"/>
          <w:color w:val="auto"/>
          <w:highlight w:val="none"/>
        </w:rPr>
        <w:t>2．我方按照本保函向你方履行了保证责任后，自我方向你方支付款项（支付款项从我方账户划出）之日起，保证责任即终止。</w:t>
      </w:r>
    </w:p>
    <w:p>
      <w:pPr>
        <w:rPr>
          <w:color w:val="auto"/>
          <w:highlight w:val="none"/>
        </w:rPr>
      </w:pPr>
      <w:r>
        <w:rPr>
          <w:rFonts w:hint="eastAsia"/>
          <w:color w:val="auto"/>
          <w:highlight w:val="none"/>
        </w:rPr>
        <w:t>3．按照法律法规的规定或出现应终止我方保证责任的其它情形的，我方在本保函项下的保证责任亦终止。</w:t>
      </w:r>
    </w:p>
    <w:p>
      <w:pPr>
        <w:rPr>
          <w:color w:val="auto"/>
          <w:highlight w:val="none"/>
        </w:rPr>
      </w:pPr>
      <w:r>
        <w:rPr>
          <w:rFonts w:hint="eastAsia"/>
          <w:color w:val="auto"/>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2"/>
        <w:rPr>
          <w:b/>
          <w:color w:val="auto"/>
          <w:highlight w:val="none"/>
        </w:rPr>
      </w:pPr>
      <w:r>
        <w:rPr>
          <w:rFonts w:hint="eastAsia"/>
          <w:b/>
          <w:color w:val="auto"/>
          <w:highlight w:val="none"/>
        </w:rPr>
        <w:t>五、免责条款</w:t>
      </w:r>
    </w:p>
    <w:p>
      <w:pPr>
        <w:rPr>
          <w:color w:val="auto"/>
          <w:highlight w:val="none"/>
        </w:rPr>
      </w:pPr>
      <w:r>
        <w:rPr>
          <w:rFonts w:hint="eastAsia"/>
          <w:color w:val="auto"/>
          <w:highlight w:val="none"/>
        </w:rPr>
        <w:t>1．因你方违反主合同约定致使供应商不能履行义务的，我方不承担保证责任。</w:t>
      </w:r>
    </w:p>
    <w:p>
      <w:pPr>
        <w:rPr>
          <w:color w:val="auto"/>
          <w:highlight w:val="none"/>
        </w:rPr>
      </w:pPr>
      <w:r>
        <w:rPr>
          <w:rFonts w:hint="eastAsia"/>
          <w:color w:val="auto"/>
          <w:highlight w:val="none"/>
        </w:rPr>
        <w:t>2．依照法律法规的规定或你方与供应商的另行约定，全部或者部分免除供应商应缴纳的保证金义务的，我方亦免除相应的保证责任。</w:t>
      </w:r>
    </w:p>
    <w:p>
      <w:pPr>
        <w:rPr>
          <w:color w:val="auto"/>
          <w:highlight w:val="none"/>
        </w:rPr>
      </w:pPr>
      <w:r>
        <w:rPr>
          <w:rFonts w:hint="eastAsia"/>
          <w:color w:val="auto"/>
          <w:highlight w:val="none"/>
        </w:rPr>
        <w:t>3．因不可抗力造成供应商不能履行供货义务的，我方不承担保证责任。</w:t>
      </w:r>
    </w:p>
    <w:p>
      <w:pPr>
        <w:ind w:firstLine="482"/>
        <w:rPr>
          <w:b/>
          <w:color w:val="auto"/>
          <w:highlight w:val="none"/>
        </w:rPr>
      </w:pPr>
      <w:r>
        <w:rPr>
          <w:rFonts w:hint="eastAsia"/>
          <w:b/>
          <w:color w:val="auto"/>
          <w:highlight w:val="none"/>
        </w:rPr>
        <w:t>六、争议的解决</w:t>
      </w:r>
    </w:p>
    <w:p>
      <w:pPr>
        <w:rPr>
          <w:color w:val="auto"/>
          <w:highlight w:val="none"/>
        </w:rPr>
      </w:pPr>
      <w:r>
        <w:rPr>
          <w:rFonts w:hint="eastAsia"/>
          <w:color w:val="auto"/>
          <w:highlight w:val="none"/>
        </w:rPr>
        <w:t>因本保函发生的纠纷，由你我双方协商解决，协商不成的，通过诉讼程序解决，诉讼管辖地法院为法院。</w:t>
      </w:r>
    </w:p>
    <w:p>
      <w:pPr>
        <w:ind w:firstLine="482"/>
        <w:rPr>
          <w:b/>
          <w:color w:val="auto"/>
          <w:highlight w:val="none"/>
        </w:rPr>
      </w:pPr>
      <w:r>
        <w:rPr>
          <w:rFonts w:hint="eastAsia"/>
          <w:b/>
          <w:color w:val="auto"/>
          <w:highlight w:val="none"/>
        </w:rPr>
        <w:t>七、保函的生效</w:t>
      </w:r>
    </w:p>
    <w:p>
      <w:pPr>
        <w:rPr>
          <w:color w:val="auto"/>
          <w:highlight w:val="none"/>
        </w:rPr>
      </w:pPr>
      <w:r>
        <w:rPr>
          <w:rFonts w:hint="eastAsia"/>
          <w:color w:val="auto"/>
          <w:highlight w:val="none"/>
        </w:rPr>
        <w:t>本保函自我方加盖公章之日起生效。</w:t>
      </w:r>
    </w:p>
    <w:p>
      <w:pPr>
        <w:ind w:right="480" w:firstLine="6960" w:firstLineChars="2900"/>
        <w:jc w:val="right"/>
        <w:rPr>
          <w:color w:val="auto"/>
          <w:highlight w:val="none"/>
        </w:rPr>
      </w:pPr>
      <w:r>
        <w:rPr>
          <w:rFonts w:hint="eastAsia"/>
          <w:color w:val="auto"/>
          <w:highlight w:val="none"/>
        </w:rPr>
        <w:t>保证人：（公章）年月日</w:t>
      </w:r>
    </w:p>
    <w:p>
      <w:pPr>
        <w:ind w:firstLine="5520" w:firstLineChars="2300"/>
        <w:rPr>
          <w:color w:val="auto"/>
          <w:highlight w:val="none"/>
        </w:rPr>
        <w:sectPr>
          <w:pgSz w:w="11906" w:h="16838"/>
          <w:pgMar w:top="1418" w:right="1134" w:bottom="1418" w:left="1701" w:header="851" w:footer="851" w:gutter="0"/>
          <w:cols w:space="720" w:num="1"/>
          <w:docGrid w:type="lines" w:linePitch="312" w:charSpace="0"/>
        </w:sectPr>
      </w:pPr>
    </w:p>
    <w:p>
      <w:pPr>
        <w:pStyle w:val="4"/>
        <w:rPr>
          <w:rFonts w:ascii="Times New Roman" w:hAnsi="Times New Roman"/>
          <w:color w:val="auto"/>
          <w:highlight w:val="none"/>
        </w:rPr>
      </w:pPr>
      <w:bookmarkStart w:id="1128" w:name="_Toc518557381"/>
      <w:r>
        <w:rPr>
          <w:rFonts w:ascii="Times New Roman" w:hAnsi="Times New Roman"/>
          <w:color w:val="auto"/>
          <w:highlight w:val="none"/>
        </w:rPr>
        <w:t>附件1</w:t>
      </w:r>
      <w:r>
        <w:rPr>
          <w:rFonts w:hint="eastAsia" w:ascii="Times New Roman" w:hAnsi="Times New Roman"/>
          <w:color w:val="auto"/>
          <w:highlight w:val="none"/>
        </w:rPr>
        <w:t>0</w:t>
      </w:r>
      <w:r>
        <w:rPr>
          <w:rFonts w:ascii="Times New Roman" w:hAnsi="Times New Roman"/>
          <w:color w:val="auto"/>
          <w:highlight w:val="none"/>
        </w:rPr>
        <w:t>最后报价一览表（磋商后提交</w:t>
      </w:r>
      <w:bookmarkEnd w:id="1121"/>
      <w:bookmarkEnd w:id="1122"/>
      <w:r>
        <w:rPr>
          <w:rFonts w:ascii="Times New Roman" w:hAnsi="Times New Roman"/>
          <w:color w:val="auto"/>
          <w:highlight w:val="none"/>
        </w:rPr>
        <w:t>）</w:t>
      </w:r>
      <w:bookmarkEnd w:id="1123"/>
      <w:bookmarkEnd w:id="1124"/>
      <w:bookmarkEnd w:id="1125"/>
      <w:bookmarkEnd w:id="1126"/>
      <w:bookmarkEnd w:id="1127"/>
      <w:bookmarkEnd w:id="1128"/>
    </w:p>
    <w:p>
      <w:pPr>
        <w:rPr>
          <w:color w:val="auto"/>
          <w:highlight w:val="none"/>
        </w:rPr>
      </w:pPr>
    </w:p>
    <w:p>
      <w:pPr>
        <w:pStyle w:val="155"/>
        <w:rPr>
          <w:rFonts w:ascii="Times New Roman" w:hAnsi="Times New Roman"/>
          <w:color w:val="auto"/>
          <w:highlight w:val="none"/>
        </w:rPr>
      </w:pPr>
      <w:r>
        <w:rPr>
          <w:rFonts w:ascii="Times New Roman" w:hAnsi="Times New Roman"/>
          <w:color w:val="auto"/>
          <w:highlight w:val="none"/>
        </w:rPr>
        <w:t>最后报价一览表</w:t>
      </w:r>
    </w:p>
    <w:p>
      <w:pPr>
        <w:rPr>
          <w:color w:val="auto"/>
          <w:szCs w:val="24"/>
          <w:highlight w:val="none"/>
        </w:rPr>
      </w:pPr>
      <w:r>
        <w:rPr>
          <w:color w:val="auto"/>
          <w:szCs w:val="24"/>
          <w:highlight w:val="none"/>
        </w:rPr>
        <w:t xml:space="preserve">项目名称：_____________ </w:t>
      </w:r>
      <w:r>
        <w:rPr>
          <w:rFonts w:hint="eastAsia"/>
          <w:color w:val="auto"/>
          <w:szCs w:val="24"/>
          <w:highlight w:val="none"/>
        </w:rPr>
        <w:t xml:space="preserve">                      第     包</w:t>
      </w:r>
    </w:p>
    <w:tbl>
      <w:tblPr>
        <w:tblStyle w:val="47"/>
        <w:tblW w:w="8529" w:type="dxa"/>
        <w:tblInd w:w="0" w:type="dxa"/>
        <w:tblLayout w:type="fixed"/>
        <w:tblCellMar>
          <w:top w:w="0" w:type="dxa"/>
          <w:left w:w="108" w:type="dxa"/>
          <w:bottom w:w="0" w:type="dxa"/>
          <w:right w:w="108" w:type="dxa"/>
        </w:tblCellMar>
      </w:tblPr>
      <w:tblGrid>
        <w:gridCol w:w="1951"/>
        <w:gridCol w:w="4268"/>
        <w:gridCol w:w="2310"/>
      </w:tblGrid>
      <w:tr>
        <w:tblPrEx>
          <w:tblLayout w:type="fixed"/>
          <w:tblCellMar>
            <w:top w:w="0" w:type="dxa"/>
            <w:left w:w="108" w:type="dxa"/>
            <w:bottom w:w="0" w:type="dxa"/>
            <w:right w:w="108" w:type="dxa"/>
          </w:tblCellMar>
        </w:tblPrEx>
        <w:trPr>
          <w:trHeight w:val="315" w:hRule="atLeast"/>
        </w:trPr>
        <w:tc>
          <w:tcPr>
            <w:tcW w:w="6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textAlignment w:val="auto"/>
              <w:rPr>
                <w:rFonts w:ascii="宋体" w:hAnsi="宋体" w:cs="宋体"/>
                <w:color w:val="auto"/>
                <w:szCs w:val="24"/>
                <w:highlight w:val="none"/>
              </w:rPr>
            </w:pPr>
            <w:r>
              <w:rPr>
                <w:rFonts w:hint="eastAsia"/>
                <w:color w:val="auto"/>
                <w:szCs w:val="24"/>
                <w:highlight w:val="none"/>
              </w:rPr>
              <w:t>供应商</w:t>
            </w:r>
            <w:r>
              <w:rPr>
                <w:color w:val="auto"/>
                <w:szCs w:val="24"/>
                <w:highlight w:val="none"/>
              </w:rPr>
              <w:t>名称：</w:t>
            </w:r>
          </w:p>
        </w:tc>
        <w:tc>
          <w:tcPr>
            <w:tcW w:w="2310"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color w:val="auto"/>
                <w:szCs w:val="24"/>
                <w:highlight w:val="none"/>
              </w:rPr>
              <w:t>　</w:t>
            </w:r>
          </w:p>
        </w:tc>
      </w:tr>
      <w:tr>
        <w:tblPrEx>
          <w:tblLayout w:type="fixed"/>
          <w:tblCellMar>
            <w:top w:w="0" w:type="dxa"/>
            <w:left w:w="108" w:type="dxa"/>
            <w:bottom w:w="0" w:type="dxa"/>
            <w:right w:w="108" w:type="dxa"/>
          </w:tblCellMar>
        </w:tblPrEx>
        <w:trPr>
          <w:trHeight w:val="315" w:hRule="atLeast"/>
        </w:trPr>
        <w:tc>
          <w:tcPr>
            <w:tcW w:w="1951"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rFonts w:ascii="宋体" w:hAnsi="宋体" w:cs="宋体"/>
                <w:color w:val="auto"/>
                <w:sz w:val="21"/>
                <w:szCs w:val="21"/>
                <w:highlight w:val="none"/>
              </w:rPr>
            </w:pPr>
            <w:r>
              <w:rPr>
                <w:rFonts w:hint="eastAsia"/>
                <w:color w:val="auto"/>
                <w:szCs w:val="24"/>
                <w:highlight w:val="none"/>
              </w:rPr>
              <w:t>最后</w:t>
            </w:r>
            <w:r>
              <w:rPr>
                <w:color w:val="auto"/>
                <w:szCs w:val="24"/>
                <w:highlight w:val="none"/>
              </w:rPr>
              <w:t>报价</w:t>
            </w:r>
            <w:r>
              <w:rPr>
                <w:rFonts w:hint="eastAsia"/>
                <w:color w:val="auto"/>
                <w:szCs w:val="24"/>
                <w:highlight w:val="none"/>
              </w:rPr>
              <w:br w:type="textWrapping"/>
            </w:r>
            <w:r>
              <w:rPr>
                <w:rFonts w:hint="eastAsia"/>
                <w:b/>
                <w:color w:val="auto"/>
                <w:szCs w:val="24"/>
                <w:highlight w:val="none"/>
              </w:rPr>
              <w:t>（</w:t>
            </w:r>
            <w:r>
              <w:rPr>
                <w:b/>
                <w:color w:val="auto"/>
                <w:szCs w:val="24"/>
                <w:highlight w:val="none"/>
              </w:rPr>
              <w:t>人民币元</w:t>
            </w:r>
            <w:r>
              <w:rPr>
                <w:rFonts w:hint="eastAsia"/>
                <w:b/>
                <w:color w:val="auto"/>
                <w:szCs w:val="24"/>
                <w:highlight w:val="none"/>
              </w:rPr>
              <w:t>）</w:t>
            </w:r>
          </w:p>
        </w:tc>
        <w:tc>
          <w:tcPr>
            <w:tcW w:w="4268" w:type="dxa"/>
            <w:tcBorders>
              <w:top w:val="nil"/>
              <w:left w:val="nil"/>
              <w:bottom w:val="single" w:color="auto" w:sz="4" w:space="0"/>
              <w:right w:val="single" w:color="auto" w:sz="4" w:space="0"/>
            </w:tcBorders>
            <w:shd w:val="clear" w:color="auto" w:fill="auto"/>
            <w:vAlign w:val="center"/>
          </w:tcPr>
          <w:p>
            <w:pPr>
              <w:pStyle w:val="145"/>
              <w:rPr>
                <w:color w:val="auto"/>
                <w:kern w:val="0"/>
                <w:sz w:val="24"/>
                <w:szCs w:val="24"/>
                <w:highlight w:val="none"/>
              </w:rPr>
            </w:pPr>
            <w:r>
              <w:rPr>
                <w:color w:val="auto"/>
                <w:kern w:val="0"/>
                <w:sz w:val="24"/>
                <w:szCs w:val="24"/>
                <w:highlight w:val="none"/>
              </w:rPr>
              <w:t>报价（含</w:t>
            </w:r>
            <w:r>
              <w:rPr>
                <w:rFonts w:hint="eastAsia"/>
                <w:color w:val="auto"/>
                <w:kern w:val="0"/>
                <w:sz w:val="24"/>
                <w:szCs w:val="24"/>
                <w:highlight w:val="none"/>
              </w:rPr>
              <w:t>增值</w:t>
            </w:r>
            <w:r>
              <w:rPr>
                <w:color w:val="auto"/>
                <w:kern w:val="0"/>
                <w:sz w:val="24"/>
                <w:szCs w:val="24"/>
                <w:highlight w:val="none"/>
              </w:rPr>
              <w:t>税价）</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textAlignment w:val="auto"/>
              <w:rPr>
                <w:color w:val="auto"/>
                <w:szCs w:val="24"/>
                <w:highlight w:val="none"/>
              </w:rPr>
            </w:pPr>
            <w:r>
              <w:rPr>
                <w:rFonts w:hint="eastAsia"/>
                <w:color w:val="auto"/>
                <w:szCs w:val="24"/>
                <w:highlight w:val="none"/>
              </w:rPr>
              <w:t>大写：_____</w:t>
            </w:r>
          </w:p>
          <w:p>
            <w:pPr>
              <w:widowControl/>
              <w:adjustRightInd/>
              <w:spacing w:line="240" w:lineRule="auto"/>
              <w:ind w:firstLine="0" w:firstLineChars="0"/>
              <w:textAlignment w:val="auto"/>
              <w:rPr>
                <w:color w:val="auto"/>
                <w:szCs w:val="24"/>
                <w:highlight w:val="none"/>
              </w:rPr>
            </w:pPr>
            <w:r>
              <w:rPr>
                <w:rFonts w:hint="eastAsia"/>
                <w:color w:val="auto"/>
                <w:szCs w:val="24"/>
                <w:highlight w:val="none"/>
              </w:rPr>
              <w:t>小写：_____</w:t>
            </w:r>
            <w:r>
              <w:rPr>
                <w:color w:val="auto"/>
                <w:szCs w:val="24"/>
                <w:highlight w:val="none"/>
              </w:rPr>
              <w:t>　</w:t>
            </w:r>
          </w:p>
        </w:tc>
      </w:tr>
      <w:tr>
        <w:tblPrEx>
          <w:tblLayout w:type="fixed"/>
          <w:tblCellMar>
            <w:top w:w="0" w:type="dxa"/>
            <w:left w:w="108" w:type="dxa"/>
            <w:bottom w:w="0" w:type="dxa"/>
            <w:right w:w="108" w:type="dxa"/>
          </w:tblCellMar>
        </w:tblPrEx>
        <w:trPr>
          <w:trHeight w:val="315" w:hRule="atLeast"/>
        </w:trPr>
        <w:tc>
          <w:tcPr>
            <w:tcW w:w="6219" w:type="dxa"/>
            <w:gridSpan w:val="2"/>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b/>
                <w:color w:val="auto"/>
                <w:szCs w:val="24"/>
                <w:highlight w:val="none"/>
              </w:rPr>
            </w:pPr>
            <w:r>
              <w:rPr>
                <w:rFonts w:hint="eastAsia" w:ascii="宋体" w:hAnsi="宋体" w:cs="宋体"/>
                <w:b/>
                <w:color w:val="auto"/>
                <w:szCs w:val="24"/>
                <w:highlight w:val="none"/>
              </w:rPr>
              <w:t>最后报价相对于</w:t>
            </w:r>
            <w:r>
              <w:rPr>
                <w:rFonts w:hint="eastAsia" w:ascii="宋体" w:hAnsi="宋体" w:cs="宋体"/>
                <w:b/>
                <w:color w:val="auto"/>
                <w:szCs w:val="24"/>
                <w:highlight w:val="none"/>
                <w:lang w:eastAsia="zh-CN"/>
              </w:rPr>
              <w:t>预算金额</w:t>
            </w:r>
            <w:r>
              <w:rPr>
                <w:rFonts w:hint="eastAsia" w:ascii="宋体" w:hAnsi="宋体" w:cs="宋体"/>
                <w:b/>
                <w:color w:val="auto"/>
                <w:szCs w:val="24"/>
                <w:highlight w:val="none"/>
              </w:rPr>
              <w:t>的折扣率</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rFonts w:hint="eastAsia"/>
                <w:color w:val="auto"/>
                <w:szCs w:val="24"/>
                <w:highlight w:val="none"/>
              </w:rPr>
              <w:t>____%</w:t>
            </w:r>
            <w:r>
              <w:rPr>
                <w:color w:val="auto"/>
                <w:szCs w:val="24"/>
                <w:highlight w:val="none"/>
              </w:rPr>
              <w:t>　</w:t>
            </w:r>
          </w:p>
        </w:tc>
      </w:tr>
      <w:tr>
        <w:tblPrEx>
          <w:tblLayout w:type="fixed"/>
          <w:tblCellMar>
            <w:top w:w="0" w:type="dxa"/>
            <w:left w:w="108" w:type="dxa"/>
            <w:bottom w:w="0" w:type="dxa"/>
            <w:right w:w="108" w:type="dxa"/>
          </w:tblCellMar>
        </w:tblPrEx>
        <w:trPr>
          <w:trHeight w:val="315" w:hRule="atLeast"/>
        </w:trPr>
        <w:tc>
          <w:tcPr>
            <w:tcW w:w="6219" w:type="dxa"/>
            <w:gridSpan w:val="2"/>
            <w:tcBorders>
              <w:top w:val="nil"/>
              <w:left w:val="single" w:color="auto" w:sz="4" w:space="0"/>
              <w:bottom w:val="single" w:color="auto" w:sz="4" w:space="0"/>
              <w:right w:val="single" w:color="auto" w:sz="4" w:space="0"/>
            </w:tcBorders>
            <w:vAlign w:val="center"/>
          </w:tcPr>
          <w:p>
            <w:pPr>
              <w:widowControl/>
              <w:adjustRightInd/>
              <w:spacing w:line="240" w:lineRule="auto"/>
              <w:ind w:firstLine="0" w:firstLineChars="0"/>
              <w:textAlignment w:val="auto"/>
              <w:rPr>
                <w:rFonts w:ascii="宋体" w:hAnsi="宋体" w:cs="宋体"/>
                <w:b/>
                <w:color w:val="auto"/>
                <w:szCs w:val="24"/>
                <w:highlight w:val="none"/>
              </w:rPr>
            </w:pPr>
            <w:r>
              <w:rPr>
                <w:rFonts w:hint="eastAsia"/>
                <w:b/>
                <w:color w:val="auto"/>
                <w:szCs w:val="24"/>
                <w:highlight w:val="none"/>
              </w:rPr>
              <w:t>是否提交《最后报价-分项报价表》</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rFonts w:hint="eastAsia"/>
                <w:color w:val="auto"/>
                <w:szCs w:val="24"/>
                <w:highlight w:val="none"/>
              </w:rPr>
              <w:t>□提交□不提交</w:t>
            </w:r>
          </w:p>
        </w:tc>
      </w:tr>
      <w:tr>
        <w:tblPrEx>
          <w:tblLayout w:type="fixed"/>
          <w:tblCellMar>
            <w:top w:w="0" w:type="dxa"/>
            <w:left w:w="108" w:type="dxa"/>
            <w:bottom w:w="0" w:type="dxa"/>
            <w:right w:w="108" w:type="dxa"/>
          </w:tblCellMar>
        </w:tblPrEx>
        <w:trPr>
          <w:trHeight w:val="315" w:hRule="atLeast"/>
        </w:trPr>
        <w:tc>
          <w:tcPr>
            <w:tcW w:w="6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5"/>
              <w:jc w:val="both"/>
              <w:rPr>
                <w:color w:val="auto"/>
                <w:kern w:val="0"/>
                <w:sz w:val="24"/>
                <w:szCs w:val="24"/>
                <w:highlight w:val="none"/>
              </w:rPr>
            </w:pPr>
            <w:r>
              <w:rPr>
                <w:rFonts w:hint="eastAsia"/>
                <w:b/>
                <w:bCs/>
                <w:color w:val="auto"/>
                <w:kern w:val="0"/>
                <w:sz w:val="24"/>
                <w:szCs w:val="24"/>
                <w:highlight w:val="none"/>
              </w:rPr>
              <w:t>承诺工期</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color w:val="auto"/>
                <w:szCs w:val="24"/>
                <w:highlight w:val="none"/>
              </w:rPr>
              <w:t>　</w:t>
            </w:r>
          </w:p>
        </w:tc>
      </w:tr>
      <w:tr>
        <w:tblPrEx>
          <w:tblLayout w:type="fixed"/>
          <w:tblCellMar>
            <w:top w:w="0" w:type="dxa"/>
            <w:left w:w="108" w:type="dxa"/>
            <w:bottom w:w="0" w:type="dxa"/>
            <w:right w:w="108" w:type="dxa"/>
          </w:tblCellMar>
        </w:tblPrEx>
        <w:trPr>
          <w:trHeight w:val="315" w:hRule="atLeast"/>
        </w:trPr>
        <w:tc>
          <w:tcPr>
            <w:tcW w:w="6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45"/>
              <w:jc w:val="both"/>
              <w:rPr>
                <w:color w:val="auto"/>
                <w:kern w:val="0"/>
                <w:sz w:val="24"/>
                <w:szCs w:val="24"/>
                <w:highlight w:val="none"/>
              </w:rPr>
            </w:pPr>
            <w:r>
              <w:rPr>
                <w:rFonts w:hint="eastAsia"/>
                <w:b/>
                <w:bCs/>
                <w:color w:val="auto"/>
                <w:kern w:val="0"/>
                <w:sz w:val="24"/>
                <w:szCs w:val="24"/>
                <w:highlight w:val="none"/>
              </w:rPr>
              <w:t>承诺工程质量</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color w:val="auto"/>
                <w:szCs w:val="24"/>
                <w:highlight w:val="none"/>
              </w:rPr>
              <w:t>　</w:t>
            </w:r>
          </w:p>
        </w:tc>
      </w:tr>
      <w:tr>
        <w:tblPrEx>
          <w:tblLayout w:type="fixed"/>
          <w:tblCellMar>
            <w:top w:w="0" w:type="dxa"/>
            <w:left w:w="108" w:type="dxa"/>
            <w:bottom w:w="0" w:type="dxa"/>
            <w:right w:w="108" w:type="dxa"/>
          </w:tblCellMar>
        </w:tblPrEx>
        <w:trPr>
          <w:trHeight w:val="315" w:hRule="atLeast"/>
        </w:trPr>
        <w:tc>
          <w:tcPr>
            <w:tcW w:w="62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pacing w:line="240" w:lineRule="auto"/>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其它声明</w:t>
            </w:r>
          </w:p>
        </w:tc>
        <w:tc>
          <w:tcPr>
            <w:tcW w:w="2310" w:type="dxa"/>
            <w:tcBorders>
              <w:top w:val="nil"/>
              <w:left w:val="nil"/>
              <w:bottom w:val="single" w:color="auto" w:sz="4" w:space="0"/>
              <w:right w:val="single" w:color="auto" w:sz="4" w:space="0"/>
            </w:tcBorders>
            <w:shd w:val="clear" w:color="auto" w:fill="auto"/>
            <w:vAlign w:val="center"/>
          </w:tcPr>
          <w:p>
            <w:pPr>
              <w:widowControl/>
              <w:adjustRightInd/>
              <w:spacing w:line="240" w:lineRule="auto"/>
              <w:ind w:firstLine="0" w:firstLineChars="0"/>
              <w:jc w:val="center"/>
              <w:textAlignment w:val="auto"/>
              <w:rPr>
                <w:color w:val="auto"/>
                <w:szCs w:val="24"/>
                <w:highlight w:val="none"/>
              </w:rPr>
            </w:pPr>
            <w:r>
              <w:rPr>
                <w:color w:val="auto"/>
                <w:szCs w:val="24"/>
                <w:highlight w:val="none"/>
              </w:rPr>
              <w:t>　</w:t>
            </w:r>
          </w:p>
        </w:tc>
      </w:tr>
    </w:tbl>
    <w:p>
      <w:pPr>
        <w:pStyle w:val="145"/>
        <w:rPr>
          <w:rFonts w:ascii="Times New Roman" w:hAnsi="Times New Roman"/>
          <w:color w:val="auto"/>
          <w:sz w:val="24"/>
          <w:szCs w:val="24"/>
          <w:highlight w:val="none"/>
        </w:rPr>
      </w:pPr>
      <w:r>
        <w:rPr>
          <w:rFonts w:ascii="Times New Roman" w:hAnsi="Times New Roman"/>
          <w:color w:val="auto"/>
          <w:sz w:val="24"/>
          <w:szCs w:val="24"/>
          <w:highlight w:val="none"/>
        </w:rPr>
        <w:t>注</w:t>
      </w:r>
      <w:r>
        <w:rPr>
          <w:rFonts w:hint="eastAsia" w:ascii="Times New Roman" w:hAnsi="Times New Roman"/>
          <w:color w:val="auto"/>
          <w:sz w:val="24"/>
          <w:szCs w:val="24"/>
          <w:highlight w:val="none"/>
        </w:rPr>
        <w:t>1</w:t>
      </w:r>
      <w:r>
        <w:rPr>
          <w:rFonts w:ascii="Times New Roman" w:hAnsi="Times New Roman"/>
          <w:color w:val="auto"/>
          <w:sz w:val="24"/>
          <w:szCs w:val="24"/>
          <w:highlight w:val="none"/>
        </w:rPr>
        <w:t>：本表中的</w:t>
      </w:r>
      <w:r>
        <w:rPr>
          <w:rFonts w:ascii="Times New Roman" w:hAnsi="Times New Roman"/>
          <w:b/>
          <w:color w:val="auto"/>
          <w:sz w:val="24"/>
          <w:szCs w:val="24"/>
          <w:highlight w:val="none"/>
        </w:rPr>
        <w:t>最后报价</w:t>
      </w:r>
      <w:r>
        <w:rPr>
          <w:rFonts w:hint="eastAsia" w:ascii="Times New Roman" w:hAnsi="Times New Roman"/>
          <w:b/>
          <w:color w:val="auto"/>
          <w:sz w:val="24"/>
          <w:szCs w:val="24"/>
          <w:highlight w:val="none"/>
        </w:rPr>
        <w:t>=</w:t>
      </w:r>
      <w:r>
        <w:rPr>
          <w:rFonts w:hint="eastAsia" w:ascii="宋体" w:hAnsi="宋体" w:cs="宋体"/>
          <w:b/>
          <w:color w:val="auto"/>
          <w:szCs w:val="24"/>
          <w:highlight w:val="none"/>
          <w:lang w:eastAsia="zh-CN"/>
        </w:rPr>
        <w:t>预算金额</w:t>
      </w:r>
      <w:r>
        <w:rPr>
          <w:rFonts w:hint="eastAsia" w:ascii="Times New Roman" w:hAnsi="Times New Roman"/>
          <w:b/>
          <w:color w:val="auto"/>
          <w:sz w:val="24"/>
          <w:szCs w:val="24"/>
          <w:highlight w:val="none"/>
        </w:rPr>
        <w:t>×（1-折扣率）</w:t>
      </w:r>
      <w:r>
        <w:rPr>
          <w:rFonts w:hint="eastAsia" w:ascii="Times New Roman" w:hAnsi="Times New Roman"/>
          <w:b w:val="0"/>
          <w:bCs/>
          <w:color w:val="auto"/>
          <w:sz w:val="24"/>
          <w:szCs w:val="24"/>
          <w:highlight w:val="none"/>
          <w:lang w:eastAsia="zh-CN"/>
        </w:rPr>
        <w:t>，其中</w:t>
      </w:r>
      <w:r>
        <w:rPr>
          <w:rFonts w:hint="eastAsia" w:ascii="Times New Roman" w:hAnsi="Times New Roman"/>
          <w:b/>
          <w:bCs w:val="0"/>
          <w:color w:val="auto"/>
          <w:sz w:val="24"/>
          <w:szCs w:val="24"/>
          <w:highlight w:val="none"/>
          <w:lang w:eastAsia="zh-CN"/>
        </w:rPr>
        <w:t>折扣率</w:t>
      </w:r>
      <w:r>
        <w:rPr>
          <w:rFonts w:hint="eastAsia" w:ascii="Times New Roman" w:hAnsi="Times New Roman"/>
          <w:b w:val="0"/>
          <w:bCs/>
          <w:color w:val="auto"/>
          <w:sz w:val="24"/>
          <w:szCs w:val="24"/>
          <w:highlight w:val="none"/>
          <w:lang w:eastAsia="zh-CN"/>
        </w:rPr>
        <w:t>不得低于公司在央采工程定点中的承诺折扣率</w:t>
      </w:r>
      <w:r>
        <w:rPr>
          <w:rFonts w:ascii="Times New Roman" w:hAnsi="Times New Roman"/>
          <w:b/>
          <w:color w:val="auto"/>
          <w:sz w:val="24"/>
          <w:szCs w:val="24"/>
          <w:highlight w:val="none"/>
        </w:rPr>
        <w:t>。</w:t>
      </w:r>
    </w:p>
    <w:p>
      <w:pPr>
        <w:pStyle w:val="145"/>
        <w:rPr>
          <w:rFonts w:ascii="Times New Roman" w:hAnsi="Times New Roman"/>
          <w:color w:val="auto"/>
          <w:sz w:val="24"/>
          <w:szCs w:val="24"/>
          <w:highlight w:val="none"/>
        </w:rPr>
      </w:pPr>
      <w:r>
        <w:rPr>
          <w:rFonts w:hint="eastAsia" w:ascii="Times New Roman" w:hAnsi="Times New Roman"/>
          <w:color w:val="auto"/>
          <w:sz w:val="24"/>
          <w:szCs w:val="24"/>
          <w:highlight w:val="none"/>
        </w:rPr>
        <w:t>注2：（1）供应商可按附件18格式提交《最后报价-分项报价表》，则本表中的最后报价金额必须与《最后报价-分项报价表》中的总价</w:t>
      </w:r>
      <w:bookmarkStart w:id="1133" w:name="_GoBack"/>
      <w:bookmarkEnd w:id="1133"/>
      <w:r>
        <w:rPr>
          <w:rFonts w:hint="eastAsia" w:ascii="Times New Roman" w:hAnsi="Times New Roman"/>
          <w:color w:val="auto"/>
          <w:sz w:val="24"/>
          <w:szCs w:val="24"/>
          <w:highlight w:val="none"/>
        </w:rPr>
        <w:t>金额一致。</w:t>
      </w:r>
    </w:p>
    <w:p>
      <w:pPr>
        <w:pStyle w:val="145"/>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2）供应商也可不提交《最后报价-分项报价表》，则默认为供应商最后报价中的各分项内容不变（同《响应报价-分项报价表》中的分项内容），且最后分项报价（各分项的最后报价）均为该分项在《响应报价-分项报价表》的报价乘以折扣率。</w:t>
      </w:r>
    </w:p>
    <w:p>
      <w:pPr>
        <w:pStyle w:val="145"/>
        <w:rPr>
          <w:rFonts w:ascii="Times New Roman" w:hAnsi="Times New Roman"/>
          <w:color w:val="auto"/>
          <w:sz w:val="24"/>
          <w:szCs w:val="24"/>
          <w:highlight w:val="none"/>
        </w:rPr>
      </w:pPr>
      <w:r>
        <w:rPr>
          <w:rFonts w:hint="eastAsia" w:ascii="Times New Roman" w:hAnsi="Times New Roman"/>
          <w:color w:val="auto"/>
          <w:sz w:val="24"/>
          <w:szCs w:val="24"/>
          <w:highlight w:val="none"/>
        </w:rPr>
        <w:t>注3：本项目价格评审得分将按最后报价进行计算。</w:t>
      </w:r>
    </w:p>
    <w:p>
      <w:pPr>
        <w:pStyle w:val="145"/>
        <w:rPr>
          <w:rFonts w:ascii="Times New Roman" w:hAnsi="Times New Roman"/>
          <w:color w:val="auto"/>
          <w:sz w:val="24"/>
          <w:szCs w:val="24"/>
          <w:highlight w:val="none"/>
        </w:rPr>
      </w:pPr>
    </w:p>
    <w:p>
      <w:pPr>
        <w:rPr>
          <w:color w:val="auto"/>
          <w:szCs w:val="24"/>
          <w:highlight w:val="none"/>
        </w:rPr>
      </w:pPr>
    </w:p>
    <w:p>
      <w:pPr>
        <w:rPr>
          <w:color w:val="auto"/>
          <w:szCs w:val="24"/>
          <w:highlight w:val="none"/>
        </w:rPr>
      </w:pPr>
      <w:r>
        <w:rPr>
          <w:color w:val="auto"/>
          <w:szCs w:val="24"/>
          <w:highlight w:val="none"/>
        </w:rPr>
        <w:t xml:space="preserve">供应商授权代表签字（或加盖供应商公章）：___________________ </w:t>
      </w:r>
    </w:p>
    <w:p>
      <w:pPr>
        <w:rPr>
          <w:color w:val="auto"/>
          <w:highlight w:val="none"/>
        </w:rPr>
      </w:pPr>
      <w:r>
        <w:rPr>
          <w:color w:val="auto"/>
          <w:szCs w:val="24"/>
          <w:highlight w:val="none"/>
        </w:rPr>
        <w:t xml:space="preserve">日期：________________________________ </w:t>
      </w:r>
    </w:p>
    <w:p>
      <w:pPr>
        <w:pStyle w:val="4"/>
        <w:rPr>
          <w:rFonts w:ascii="Times New Roman" w:hAnsi="Times New Roman"/>
          <w:color w:val="auto"/>
          <w:highlight w:val="none"/>
        </w:rPr>
      </w:pPr>
      <w:r>
        <w:rPr>
          <w:rFonts w:ascii="Times New Roman" w:hAnsi="Times New Roman"/>
          <w:color w:val="auto"/>
          <w:highlight w:val="none"/>
        </w:rPr>
        <w:br w:type="page"/>
      </w:r>
      <w:bookmarkStart w:id="1129" w:name="_Toc462069457"/>
      <w:bookmarkStart w:id="1130" w:name="_Toc462066523"/>
      <w:bookmarkStart w:id="1131" w:name="_Toc518557382"/>
      <w:bookmarkStart w:id="1132" w:name="_Toc453622090"/>
      <w:r>
        <w:rPr>
          <w:rFonts w:ascii="Times New Roman" w:hAnsi="Times New Roman"/>
          <w:color w:val="auto"/>
          <w:highlight w:val="none"/>
        </w:rPr>
        <w:t>附件1</w:t>
      </w:r>
      <w:r>
        <w:rPr>
          <w:rFonts w:hint="eastAsia" w:ascii="Times New Roman" w:hAnsi="Times New Roman"/>
          <w:color w:val="auto"/>
          <w:highlight w:val="none"/>
        </w:rPr>
        <w:t>1</w:t>
      </w:r>
      <w:r>
        <w:rPr>
          <w:rFonts w:ascii="Times New Roman" w:hAnsi="Times New Roman"/>
          <w:color w:val="auto"/>
          <w:highlight w:val="none"/>
        </w:rPr>
        <w:t>最后分项报价表（磋商后提交）</w:t>
      </w:r>
      <w:bookmarkEnd w:id="1129"/>
      <w:bookmarkEnd w:id="1130"/>
      <w:bookmarkEnd w:id="1131"/>
      <w:bookmarkEnd w:id="1132"/>
    </w:p>
    <w:p>
      <w:pPr>
        <w:rPr>
          <w:color w:val="auto"/>
          <w:highlight w:val="none"/>
        </w:rPr>
      </w:pPr>
      <w:r>
        <w:rPr>
          <w:rFonts w:hint="eastAsia"/>
          <w:color w:val="auto"/>
          <w:highlight w:val="none"/>
        </w:rPr>
        <w:t>格式同附件3分项报价表</w:t>
      </w:r>
    </w:p>
    <w:sectPr>
      <w:headerReference r:id="rId31" w:type="first"/>
      <w:footerReference r:id="rId34" w:type="first"/>
      <w:footerReference r:id="rId32" w:type="default"/>
      <w:headerReference r:id="rId30" w:type="even"/>
      <w:footerReference r:id="rId33" w:type="even"/>
      <w:pgSz w:w="11907" w:h="16840"/>
      <w:pgMar w:top="1440" w:right="1797" w:bottom="1440" w:left="1797" w:header="680" w:footer="907" w:gutter="0"/>
      <w:cols w:space="720" w:num="1"/>
      <w:docGrid w:type="lines"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MetaPlusLF">
    <w:altName w:val="Courier New"/>
    <w:panose1 w:val="00000000000000000000"/>
    <w:charset w:val="00"/>
    <w:family w:val="auto"/>
    <w:pitch w:val="default"/>
    <w:sig w:usb0="00000000" w:usb1="00000000" w:usb2="00000000" w:usb3="00000000" w:csb0="00000097"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roman"/>
    <w:pitch w:val="default"/>
    <w:sig w:usb0="00000000" w:usb1="00000000" w:usb2="00000010" w:usb3="00000000" w:csb0="00040000" w:csb1="00000000"/>
  </w:font>
  <w:font w:name="MS PGothic">
    <w:panose1 w:val="020B0600070205080204"/>
    <w:charset w:val="80"/>
    <w:family w:val="swiss"/>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fldChar w:fldCharType="begin"/>
    </w:r>
    <w:r>
      <w:instrText xml:space="preserve"> PAGE   \* MERGEFORMAT </w:instrText>
    </w:r>
    <w:r>
      <w:fldChar w:fldCharType="separate"/>
    </w:r>
    <w:r>
      <w:rPr>
        <w:lang w:val="zh-CN"/>
      </w:rPr>
      <w:t>1</w:t>
    </w:r>
    <w:r>
      <w:rPr>
        <w:lang w:val="zh-CN"/>
      </w:rPr>
      <w:fldChar w:fldCharType="end"/>
    </w:r>
  </w:p>
  <w:p>
    <w:pPr>
      <w:pStyle w:val="3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124</w:t>
    </w:r>
    <w:r>
      <w:rPr>
        <w:rStyle w:val="5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0"/>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pPr>
      <w:pStyle w:val="30"/>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86</w:t>
    </w:r>
    <w:r>
      <w:rPr>
        <w:rStyle w:val="5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125</w:t>
    </w:r>
    <w:r>
      <w:rPr>
        <w:rStyle w:val="51"/>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0"/>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pPr>
      <w:pStyle w:val="30"/>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86</w:t>
    </w:r>
    <w:r>
      <w:rPr>
        <w:rStyle w:val="51"/>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136</w:t>
    </w:r>
    <w:r>
      <w:rPr>
        <w:rStyle w:val="51"/>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0"/>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pPr>
      <w:pStyle w:val="30"/>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84</w:t>
    </w:r>
    <w:r>
      <w:rPr>
        <w:rStyle w:val="51"/>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138</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ind w:firstLine="360"/>
      <w:rPr>
        <w:rStyle w:val="51"/>
      </w:rPr>
    </w:pPr>
    <w:r>
      <w:rPr>
        <w:rStyle w:val="51"/>
      </w:rPr>
      <w:fldChar w:fldCharType="begin"/>
    </w:r>
    <w:r>
      <w:rPr>
        <w:rStyle w:val="51"/>
      </w:rPr>
      <w:instrText xml:space="preserve">PAGE  </w:instrText>
    </w:r>
    <w:r>
      <w:rPr>
        <w:rStyle w:val="51"/>
      </w:rPr>
      <w:fldChar w:fldCharType="separate"/>
    </w:r>
    <w:r>
      <w:rPr>
        <w:rStyle w:val="51"/>
      </w:rPr>
      <w:t>1</w:t>
    </w:r>
    <w:r>
      <w:rPr>
        <w:rStyle w:val="51"/>
      </w:rPr>
      <w:fldChar w:fldCharType="end"/>
    </w:r>
  </w:p>
  <w:p>
    <w:pPr>
      <w:pStyle w:val="30"/>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fldChar w:fldCharType="begin"/>
    </w:r>
    <w:r>
      <w:rPr>
        <w:rStyle w:val="51"/>
      </w:rPr>
      <w:instrText xml:space="preserve"> PAGE </w:instrText>
    </w:r>
    <w:r>
      <w:rPr>
        <w:rStyle w:val="51"/>
      </w:rPr>
      <w:fldChar w:fldCharType="separate"/>
    </w:r>
    <w:r>
      <w:rPr>
        <w:rStyle w:val="51"/>
      </w:rPr>
      <w:t>86</w:t>
    </w:r>
    <w:r>
      <w:rPr>
        <w:rStyle w:val="5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rPr>
        <w:rStyle w:val="51"/>
      </w:rPr>
      <w:tab/>
    </w:r>
    <w:r>
      <w:rPr>
        <w:rStyle w:val="51"/>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r>
      <w:fldChar w:fldCharType="begin"/>
    </w:r>
    <w:r>
      <w:instrText xml:space="preserve"> PAGE   \* MERGEFORMAT </w:instrText>
    </w:r>
    <w:r>
      <w:fldChar w:fldCharType="separate"/>
    </w:r>
    <w:r>
      <w:rPr>
        <w:lang w:val="zh-CN"/>
      </w:rPr>
      <w:t>71</w:t>
    </w:r>
    <w:r>
      <w:rPr>
        <w:lang w:val="zh-CN"/>
      </w:rPr>
      <w:fldChar w:fldCharType="end"/>
    </w:r>
  </w:p>
  <w:p>
    <w:pPr>
      <w:pStyle w:val="30"/>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848"/>
        <w:tab w:val="center" w:pos="4156"/>
        <w:tab w:val="clear" w:pos="4153"/>
      </w:tabs>
      <w:ind w:firstLine="360"/>
    </w:pPr>
    <w:r>
      <w:tab/>
    </w:r>
    <w:r>
      <w:tab/>
    </w:r>
    <w:r>
      <w:fldChar w:fldCharType="begin"/>
    </w:r>
    <w:r>
      <w:instrText xml:space="preserve"> PAGE   \* MERGEFORMAT </w:instrText>
    </w:r>
    <w:r>
      <w:fldChar w:fldCharType="separate"/>
    </w:r>
    <w:r>
      <w:rPr>
        <w:lang w:val="zh-CN"/>
      </w:rPr>
      <w:t>85</w:t>
    </w:r>
    <w:r>
      <w:rPr>
        <w:lang w:val="zh-CN"/>
      </w:rPr>
      <w:fldChar w:fldCharType="end"/>
    </w:r>
  </w:p>
  <w:p>
    <w:pPr>
      <w:pStyle w:val="30"/>
      <w:ind w:firstLine="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left" w:pos="3848"/>
        <w:tab w:val="center" w:pos="4156"/>
        <w:tab w:val="clear" w:pos="4153"/>
      </w:tabs>
      <w:ind w:firstLine="360"/>
    </w:pPr>
    <w:r>
      <w:tab/>
    </w:r>
  </w:p>
  <w:p>
    <w:pPr>
      <w:pStyle w:val="30"/>
      <w:ind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jc w:val="center"/>
    </w:pPr>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right"/>
    </w:pPr>
    <w:r>
      <w:rPr>
        <w:rFonts w:hint="eastAsia"/>
      </w:rPr>
      <w:t>校内磋商采购文件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ind w:firstLine="360"/>
      <w:rPr>
        <w:rStyle w:val="51"/>
      </w:rPr>
    </w:pPr>
    <w:r>
      <w:rPr>
        <w:rStyle w:val="51"/>
      </w:rPr>
      <w:fldChar w:fldCharType="begin"/>
    </w:r>
    <w:r>
      <w:rPr>
        <w:rStyle w:val="51"/>
      </w:rPr>
      <w:instrText xml:space="preserve">PAGE  </w:instrText>
    </w:r>
    <w:r>
      <w:rPr>
        <w:rStyle w:val="51"/>
      </w:rPr>
      <w:fldChar w:fldCharType="end"/>
    </w:r>
  </w:p>
  <w:p>
    <w:pPr>
      <w:pStyle w:val="31"/>
      <w:ind w:right="360"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both"/>
    </w:pPr>
    <w:r>
      <w:rPr>
        <w:rFonts w:hint="eastAsia"/>
      </w:rPr>
      <w:t>国信招标有限责任公司招标文件                                                                                                                        GXTC-0304012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ind w:firstLine="360"/>
      <w:rPr>
        <w:rStyle w:val="51"/>
      </w:rPr>
    </w:pPr>
    <w:r>
      <w:rPr>
        <w:rStyle w:val="51"/>
      </w:rPr>
      <w:fldChar w:fldCharType="begin"/>
    </w:r>
    <w:r>
      <w:rPr>
        <w:rStyle w:val="51"/>
      </w:rPr>
      <w:instrText xml:space="preserve">PAGE  </w:instrText>
    </w:r>
    <w:r>
      <w:rPr>
        <w:rStyle w:val="51"/>
      </w:rPr>
      <w:fldChar w:fldCharType="end"/>
    </w:r>
  </w:p>
  <w:p>
    <w:pPr>
      <w:pStyle w:val="31"/>
      <w:ind w:right="36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both"/>
    </w:pPr>
    <w:r>
      <w:rPr>
        <w:rFonts w:hint="eastAsia"/>
      </w:rPr>
      <w:t>国信招标有限责任公司招标文件                                                                                                                        GXTC-0304012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ind w:firstLine="360"/>
      <w:rPr>
        <w:rStyle w:val="51"/>
      </w:rPr>
    </w:pPr>
    <w:r>
      <w:rPr>
        <w:rStyle w:val="51"/>
      </w:rPr>
      <w:fldChar w:fldCharType="begin"/>
    </w:r>
    <w:r>
      <w:rPr>
        <w:rStyle w:val="51"/>
      </w:rPr>
      <w:instrText xml:space="preserve">PAGE  </w:instrText>
    </w:r>
    <w:r>
      <w:rPr>
        <w:rStyle w:val="51"/>
      </w:rPr>
      <w:fldChar w:fldCharType="end"/>
    </w:r>
  </w:p>
  <w:p>
    <w:pPr>
      <w:pStyle w:val="31"/>
      <w:ind w:right="36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both"/>
    </w:pPr>
    <w:r>
      <w:rPr>
        <w:rFonts w:hint="eastAsia"/>
      </w:rPr>
      <w:t>国信招标有限责任公司招标文件                                                                                                                        GXTC-0304012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ind w:firstLine="360"/>
      <w:rPr>
        <w:rStyle w:val="51"/>
      </w:rPr>
    </w:pPr>
    <w:r>
      <w:rPr>
        <w:rStyle w:val="51"/>
      </w:rPr>
      <w:fldChar w:fldCharType="begin"/>
    </w:r>
    <w:r>
      <w:rPr>
        <w:rStyle w:val="51"/>
      </w:rPr>
      <w:instrText xml:space="preserve">PAGE  </w:instrText>
    </w:r>
    <w:r>
      <w:rPr>
        <w:rStyle w:val="51"/>
      </w:rPr>
      <w:fldChar w:fldCharType="end"/>
    </w:r>
  </w:p>
  <w:p>
    <w:pPr>
      <w:pStyle w:val="31"/>
      <w:ind w:right="360"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both"/>
    </w:pPr>
    <w:r>
      <w:rPr>
        <w:rFonts w:hint="eastAsia"/>
      </w:rPr>
      <w:t>国信招标有限责任公司招标文件                                                                                                                        GXTC-0304012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0"/>
      <w:numFmt w:val="decimal"/>
      <w:pStyle w:val="2"/>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011"/>
    <w:multiLevelType w:val="multilevel"/>
    <w:tmpl w:val="00000011"/>
    <w:lvl w:ilvl="0" w:tentative="0">
      <w:start w:val="1"/>
      <w:numFmt w:val="decimal"/>
      <w:lvlText w:val="（%1）"/>
      <w:lvlJc w:val="left"/>
      <w:pPr>
        <w:ind w:left="988" w:hanging="420"/>
      </w:pPr>
      <w:rPr>
        <w:rFonts w:hint="default"/>
        <w:b w:val="0"/>
        <w:i w:val="0"/>
        <w:sz w:val="21"/>
      </w:rPr>
    </w:lvl>
    <w:lvl w:ilvl="1" w:tentative="0">
      <w:start w:val="1"/>
      <w:numFmt w:val="lowerLetter"/>
      <w:lvlText w:val="%2)"/>
      <w:lvlJc w:val="left"/>
      <w:pPr>
        <w:tabs>
          <w:tab w:val="left" w:pos="66"/>
        </w:tabs>
        <w:ind w:left="1986" w:hanging="420"/>
      </w:pPr>
      <w:rPr>
        <w:rFonts w:hint="eastAsia"/>
      </w:rPr>
    </w:lvl>
    <w:lvl w:ilvl="2" w:tentative="0">
      <w:start w:val="1"/>
      <w:numFmt w:val="lowerRoman"/>
      <w:lvlText w:val="%3."/>
      <w:lvlJc w:val="right"/>
      <w:pPr>
        <w:tabs>
          <w:tab w:val="left" w:pos="66"/>
        </w:tabs>
        <w:ind w:left="2406" w:hanging="420"/>
      </w:pPr>
      <w:rPr>
        <w:rFonts w:hint="eastAsia"/>
      </w:rPr>
    </w:lvl>
    <w:lvl w:ilvl="3" w:tentative="0">
      <w:start w:val="1"/>
      <w:numFmt w:val="decimal"/>
      <w:lvlText w:val="%4."/>
      <w:lvlJc w:val="left"/>
      <w:pPr>
        <w:tabs>
          <w:tab w:val="left" w:pos="66"/>
        </w:tabs>
        <w:ind w:left="2826" w:hanging="420"/>
      </w:pPr>
      <w:rPr>
        <w:rFonts w:hint="eastAsia"/>
      </w:rPr>
    </w:lvl>
    <w:lvl w:ilvl="4" w:tentative="0">
      <w:start w:val="1"/>
      <w:numFmt w:val="lowerLetter"/>
      <w:lvlText w:val="%5)"/>
      <w:lvlJc w:val="left"/>
      <w:pPr>
        <w:tabs>
          <w:tab w:val="left" w:pos="66"/>
        </w:tabs>
        <w:ind w:left="3246" w:hanging="420"/>
      </w:pPr>
      <w:rPr>
        <w:rFonts w:hint="eastAsia"/>
      </w:rPr>
    </w:lvl>
    <w:lvl w:ilvl="5" w:tentative="0">
      <w:start w:val="1"/>
      <w:numFmt w:val="lowerRoman"/>
      <w:lvlText w:val="%6."/>
      <w:lvlJc w:val="right"/>
      <w:pPr>
        <w:tabs>
          <w:tab w:val="left" w:pos="66"/>
        </w:tabs>
        <w:ind w:left="3666" w:hanging="420"/>
      </w:pPr>
      <w:rPr>
        <w:rFonts w:hint="eastAsia"/>
      </w:rPr>
    </w:lvl>
    <w:lvl w:ilvl="6" w:tentative="0">
      <w:start w:val="1"/>
      <w:numFmt w:val="decimal"/>
      <w:lvlText w:val="%7."/>
      <w:lvlJc w:val="left"/>
      <w:pPr>
        <w:tabs>
          <w:tab w:val="left" w:pos="66"/>
        </w:tabs>
        <w:ind w:left="4086" w:hanging="420"/>
      </w:pPr>
      <w:rPr>
        <w:rFonts w:hint="eastAsia"/>
      </w:rPr>
    </w:lvl>
    <w:lvl w:ilvl="7" w:tentative="0">
      <w:start w:val="1"/>
      <w:numFmt w:val="lowerLetter"/>
      <w:lvlText w:val="%8)"/>
      <w:lvlJc w:val="left"/>
      <w:pPr>
        <w:tabs>
          <w:tab w:val="left" w:pos="66"/>
        </w:tabs>
        <w:ind w:left="4506" w:hanging="420"/>
      </w:pPr>
      <w:rPr>
        <w:rFonts w:hint="eastAsia"/>
      </w:rPr>
    </w:lvl>
    <w:lvl w:ilvl="8" w:tentative="0">
      <w:start w:val="1"/>
      <w:numFmt w:val="lowerRoman"/>
      <w:lvlText w:val="%9."/>
      <w:lvlJc w:val="right"/>
      <w:pPr>
        <w:tabs>
          <w:tab w:val="left" w:pos="66"/>
        </w:tabs>
        <w:ind w:left="4926" w:hanging="420"/>
      </w:pPr>
      <w:rPr>
        <w:rFonts w:hint="eastAsia"/>
      </w:rPr>
    </w:lvl>
  </w:abstractNum>
  <w:abstractNum w:abstractNumId="2">
    <w:nsid w:val="00000BB3"/>
    <w:multiLevelType w:val="multilevel"/>
    <w:tmpl w:val="00000BB3"/>
    <w:lvl w:ilvl="0" w:tentative="0">
      <w:start w:val="2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1F661C8"/>
    <w:multiLevelType w:val="multilevel"/>
    <w:tmpl w:val="01F661C8"/>
    <w:lvl w:ilvl="0" w:tentative="0">
      <w:start w:val="18"/>
      <w:numFmt w:val="decimal"/>
      <w:lvlText w:val="%1"/>
      <w:lvlJc w:val="left"/>
      <w:pPr>
        <w:ind w:left="480" w:hanging="480"/>
      </w:pPr>
      <w:rPr>
        <w:rFonts w:hint="default"/>
      </w:rPr>
    </w:lvl>
    <w:lvl w:ilvl="1" w:tentative="0">
      <w:start w:val="2"/>
      <w:numFmt w:val="decimal"/>
      <w:lvlText w:val="%1.%2"/>
      <w:lvlJc w:val="left"/>
      <w:pPr>
        <w:ind w:left="638" w:hanging="480"/>
      </w:pPr>
      <w:rPr>
        <w:rFonts w:hint="default"/>
      </w:rPr>
    </w:lvl>
    <w:lvl w:ilvl="2" w:tentative="0">
      <w:start w:val="1"/>
      <w:numFmt w:val="decimal"/>
      <w:lvlText w:val="%1.%2.%3"/>
      <w:lvlJc w:val="left"/>
      <w:pPr>
        <w:ind w:left="1036" w:hanging="720"/>
      </w:pPr>
      <w:rPr>
        <w:rFonts w:hint="default"/>
      </w:rPr>
    </w:lvl>
    <w:lvl w:ilvl="3" w:tentative="0">
      <w:start w:val="1"/>
      <w:numFmt w:val="decimal"/>
      <w:lvlText w:val="%1.%2.%3.%4"/>
      <w:lvlJc w:val="left"/>
      <w:pPr>
        <w:ind w:left="1554" w:hanging="1080"/>
      </w:pPr>
      <w:rPr>
        <w:rFonts w:hint="default"/>
      </w:rPr>
    </w:lvl>
    <w:lvl w:ilvl="4" w:tentative="0">
      <w:start w:val="1"/>
      <w:numFmt w:val="decimal"/>
      <w:lvlText w:val="%1.%2.%3.%4.%5"/>
      <w:lvlJc w:val="left"/>
      <w:pPr>
        <w:ind w:left="1712" w:hanging="1080"/>
      </w:pPr>
      <w:rPr>
        <w:rFonts w:hint="default"/>
      </w:rPr>
    </w:lvl>
    <w:lvl w:ilvl="5" w:tentative="0">
      <w:start w:val="1"/>
      <w:numFmt w:val="decimal"/>
      <w:lvlText w:val="%1.%2.%3.%4.%5.%6"/>
      <w:lvlJc w:val="left"/>
      <w:pPr>
        <w:ind w:left="2230" w:hanging="1440"/>
      </w:pPr>
      <w:rPr>
        <w:rFonts w:hint="default"/>
      </w:rPr>
    </w:lvl>
    <w:lvl w:ilvl="6" w:tentative="0">
      <w:start w:val="1"/>
      <w:numFmt w:val="decimal"/>
      <w:lvlText w:val="%1.%2.%3.%4.%5.%6.%7"/>
      <w:lvlJc w:val="left"/>
      <w:pPr>
        <w:ind w:left="2388" w:hanging="1440"/>
      </w:pPr>
      <w:rPr>
        <w:rFonts w:hint="default"/>
      </w:rPr>
    </w:lvl>
    <w:lvl w:ilvl="7" w:tentative="0">
      <w:start w:val="1"/>
      <w:numFmt w:val="decimal"/>
      <w:lvlText w:val="%1.%2.%3.%4.%5.%6.%7.%8"/>
      <w:lvlJc w:val="left"/>
      <w:pPr>
        <w:ind w:left="2906" w:hanging="1800"/>
      </w:pPr>
      <w:rPr>
        <w:rFonts w:hint="default"/>
      </w:rPr>
    </w:lvl>
    <w:lvl w:ilvl="8" w:tentative="0">
      <w:start w:val="1"/>
      <w:numFmt w:val="decimal"/>
      <w:lvlText w:val="%1.%2.%3.%4.%5.%6.%7.%8.%9"/>
      <w:lvlJc w:val="left"/>
      <w:pPr>
        <w:ind w:left="3064" w:hanging="1800"/>
      </w:pPr>
      <w:rPr>
        <w:rFonts w:hint="default"/>
      </w:rPr>
    </w:lvl>
  </w:abstractNum>
  <w:abstractNum w:abstractNumId="4">
    <w:nsid w:val="056824DB"/>
    <w:multiLevelType w:val="multilevel"/>
    <w:tmpl w:val="056824DB"/>
    <w:lvl w:ilvl="0" w:tentative="0">
      <w:start w:val="1"/>
      <w:numFmt w:val="decimal"/>
      <w:lvlText w:val="%1"/>
      <w:lvlJc w:val="left"/>
      <w:pPr>
        <w:ind w:hanging="737"/>
      </w:pPr>
      <w:rPr>
        <w:rFonts w:hint="default"/>
      </w:rPr>
    </w:lvl>
    <w:lvl w:ilvl="1" w:tentative="0">
      <w:start w:val="1"/>
      <w:numFmt w:val="decimal"/>
      <w:lvlText w:val="%1.%2"/>
      <w:lvlJc w:val="left"/>
      <w:pPr>
        <w:ind w:hanging="737"/>
      </w:pPr>
      <w:rPr>
        <w:rFonts w:hint="default"/>
      </w:rPr>
    </w:lvl>
    <w:lvl w:ilvl="2" w:tentative="0">
      <w:start w:val="3"/>
      <w:numFmt w:val="decimal"/>
      <w:lvlText w:val="%1.%2.%3"/>
      <w:lvlJc w:val="left"/>
      <w:pPr>
        <w:ind w:hanging="737"/>
      </w:pPr>
      <w:rPr>
        <w:rFonts w:hint="default" w:ascii="宋体" w:hAnsi="宋体" w:eastAsia="宋体"/>
        <w:sz w:val="21"/>
        <w:szCs w:val="21"/>
      </w:rPr>
    </w:lvl>
    <w:lvl w:ilvl="3" w:tentative="0">
      <w:start w:val="2"/>
      <w:numFmt w:val="decimal"/>
      <w:lvlText w:val="%1.%2.%3.%4"/>
      <w:lvlJc w:val="left"/>
      <w:pPr>
        <w:ind w:hanging="946"/>
      </w:pPr>
      <w:rPr>
        <w:rFonts w:hint="default" w:ascii="宋体" w:hAnsi="宋体" w:eastAsia="宋体"/>
        <w:sz w:val="21"/>
        <w:szCs w:val="21"/>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5">
    <w:nsid w:val="0FFFFF83"/>
    <w:multiLevelType w:val="singleLevel"/>
    <w:tmpl w:val="0FFFFF83"/>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6">
    <w:nsid w:val="19A7563B"/>
    <w:multiLevelType w:val="multilevel"/>
    <w:tmpl w:val="19A7563B"/>
    <w:lvl w:ilvl="0" w:tentative="0">
      <w:start w:val="15"/>
      <w:numFmt w:val="decimal"/>
      <w:lvlText w:val="%1"/>
      <w:lvlJc w:val="left"/>
      <w:pPr>
        <w:ind w:left="630" w:hanging="630"/>
      </w:pPr>
      <w:rPr>
        <w:rFonts w:hint="default" w:cs="宋体"/>
      </w:rPr>
    </w:lvl>
    <w:lvl w:ilvl="1" w:tentative="0">
      <w:start w:val="3"/>
      <w:numFmt w:val="decimal"/>
      <w:lvlText w:val="%1.%2"/>
      <w:lvlJc w:val="left"/>
      <w:pPr>
        <w:ind w:left="919" w:hanging="630"/>
      </w:pPr>
      <w:rPr>
        <w:rFonts w:hint="default" w:cs="宋体"/>
      </w:rPr>
    </w:lvl>
    <w:lvl w:ilvl="2" w:tentative="0">
      <w:start w:val="2"/>
      <w:numFmt w:val="decimal"/>
      <w:lvlText w:val="%1.%2.%3"/>
      <w:lvlJc w:val="left"/>
      <w:pPr>
        <w:ind w:left="1298" w:hanging="720"/>
      </w:pPr>
      <w:rPr>
        <w:rFonts w:hint="default" w:cs="宋体"/>
      </w:rPr>
    </w:lvl>
    <w:lvl w:ilvl="3" w:tentative="0">
      <w:start w:val="1"/>
      <w:numFmt w:val="decimal"/>
      <w:lvlText w:val="%1.%2.%3.%4"/>
      <w:lvlJc w:val="left"/>
      <w:pPr>
        <w:ind w:left="1587" w:hanging="720"/>
      </w:pPr>
      <w:rPr>
        <w:rFonts w:hint="default" w:cs="宋体"/>
      </w:rPr>
    </w:lvl>
    <w:lvl w:ilvl="4" w:tentative="0">
      <w:start w:val="1"/>
      <w:numFmt w:val="decimal"/>
      <w:lvlText w:val="%1.%2.%3.%4.%5"/>
      <w:lvlJc w:val="left"/>
      <w:pPr>
        <w:ind w:left="2236" w:hanging="1080"/>
      </w:pPr>
      <w:rPr>
        <w:rFonts w:hint="default" w:cs="宋体"/>
      </w:rPr>
    </w:lvl>
    <w:lvl w:ilvl="5" w:tentative="0">
      <w:start w:val="1"/>
      <w:numFmt w:val="decimal"/>
      <w:lvlText w:val="%1.%2.%3.%4.%5.%6"/>
      <w:lvlJc w:val="left"/>
      <w:pPr>
        <w:ind w:left="2885" w:hanging="1440"/>
      </w:pPr>
      <w:rPr>
        <w:rFonts w:hint="default" w:cs="宋体"/>
      </w:rPr>
    </w:lvl>
    <w:lvl w:ilvl="6" w:tentative="0">
      <w:start w:val="1"/>
      <w:numFmt w:val="decimal"/>
      <w:lvlText w:val="%1.%2.%3.%4.%5.%6.%7"/>
      <w:lvlJc w:val="left"/>
      <w:pPr>
        <w:ind w:left="3174" w:hanging="1440"/>
      </w:pPr>
      <w:rPr>
        <w:rFonts w:hint="default" w:cs="宋体"/>
      </w:rPr>
    </w:lvl>
    <w:lvl w:ilvl="7" w:tentative="0">
      <w:start w:val="1"/>
      <w:numFmt w:val="decimal"/>
      <w:lvlText w:val="%1.%2.%3.%4.%5.%6.%7.%8"/>
      <w:lvlJc w:val="left"/>
      <w:pPr>
        <w:ind w:left="3823" w:hanging="1800"/>
      </w:pPr>
      <w:rPr>
        <w:rFonts w:hint="default" w:cs="宋体"/>
      </w:rPr>
    </w:lvl>
    <w:lvl w:ilvl="8" w:tentative="0">
      <w:start w:val="1"/>
      <w:numFmt w:val="decimal"/>
      <w:lvlText w:val="%1.%2.%3.%4.%5.%6.%7.%8.%9"/>
      <w:lvlJc w:val="left"/>
      <w:pPr>
        <w:ind w:left="4112" w:hanging="1800"/>
      </w:pPr>
      <w:rPr>
        <w:rFonts w:hint="default" w:cs="宋体"/>
      </w:rPr>
    </w:lvl>
  </w:abstractNum>
  <w:abstractNum w:abstractNumId="7">
    <w:nsid w:val="1B3F6C1A"/>
    <w:multiLevelType w:val="multilevel"/>
    <w:tmpl w:val="1B3F6C1A"/>
    <w:lvl w:ilvl="0" w:tentative="0">
      <w:start w:val="1"/>
      <w:numFmt w:val="decimal"/>
      <w:lvlText w:val="%1"/>
      <w:lvlJc w:val="left"/>
      <w:pPr>
        <w:ind w:hanging="946"/>
      </w:pPr>
      <w:rPr>
        <w:rFonts w:hint="default"/>
      </w:rPr>
    </w:lvl>
    <w:lvl w:ilvl="1" w:tentative="0">
      <w:start w:val="1"/>
      <w:numFmt w:val="decimal"/>
      <w:lvlText w:val="%1.%2"/>
      <w:lvlJc w:val="left"/>
      <w:pPr>
        <w:ind w:hanging="946"/>
      </w:pPr>
      <w:rPr>
        <w:rFonts w:hint="default"/>
      </w:rPr>
    </w:lvl>
    <w:lvl w:ilvl="2" w:tentative="0">
      <w:start w:val="2"/>
      <w:numFmt w:val="decimal"/>
      <w:lvlText w:val="%1.%2.%3"/>
      <w:lvlJc w:val="left"/>
      <w:pPr>
        <w:ind w:hanging="946"/>
      </w:pPr>
      <w:rPr>
        <w:rFonts w:hint="default"/>
      </w:rPr>
    </w:lvl>
    <w:lvl w:ilvl="3" w:tentative="0">
      <w:start w:val="2"/>
      <w:numFmt w:val="decimal"/>
      <w:lvlText w:val="%1.%2.%3.%4"/>
      <w:lvlJc w:val="left"/>
      <w:pPr>
        <w:ind w:hanging="946"/>
      </w:pPr>
      <w:rPr>
        <w:rFonts w:hint="default" w:ascii="宋体" w:hAnsi="宋体" w:eastAsia="宋体"/>
        <w:sz w:val="21"/>
        <w:szCs w:val="21"/>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8">
    <w:nsid w:val="1ECA75FF"/>
    <w:multiLevelType w:val="multilevel"/>
    <w:tmpl w:val="1ECA75FF"/>
    <w:lvl w:ilvl="0" w:tentative="0">
      <w:start w:val="1"/>
      <w:numFmt w:val="bullet"/>
      <w:pStyle w:val="174"/>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0D7133D"/>
    <w:multiLevelType w:val="multilevel"/>
    <w:tmpl w:val="20D7133D"/>
    <w:lvl w:ilvl="0" w:tentative="0">
      <w:start w:val="1"/>
      <w:numFmt w:val="decimal"/>
      <w:pStyle w:val="143"/>
      <w:suff w:val="nothing"/>
      <w:lvlText w:val="%1"/>
      <w:lvlJc w:val="left"/>
      <w:pPr>
        <w:ind w:left="567" w:hanging="567"/>
      </w:pPr>
      <w:rPr>
        <w:rFonts w:hint="default"/>
      </w:rPr>
    </w:lvl>
    <w:lvl w:ilvl="1" w:tentative="0">
      <w:start w:val="1"/>
      <w:numFmt w:val="decimal"/>
      <w:pStyle w:val="141"/>
      <w:suff w:val="nothing"/>
      <w:lvlText w:val="%1.%2"/>
      <w:lvlJc w:val="left"/>
      <w:pPr>
        <w:ind w:left="360" w:hanging="360"/>
      </w:pPr>
      <w:rPr>
        <w:rFonts w:hint="default" w:ascii="Times New Roman" w:hAnsi="Times New Roman"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0">
    <w:nsid w:val="2D886543"/>
    <w:multiLevelType w:val="multilevel"/>
    <w:tmpl w:val="2D886543"/>
    <w:lvl w:ilvl="0" w:tentative="0">
      <w:start w:val="17"/>
      <w:numFmt w:val="decimal"/>
      <w:lvlText w:val="%1"/>
      <w:lvlJc w:val="left"/>
      <w:pPr>
        <w:ind w:hanging="720"/>
      </w:pPr>
      <w:rPr>
        <w:rFonts w:hint="default"/>
      </w:rPr>
    </w:lvl>
    <w:lvl w:ilvl="1" w:tentative="0">
      <w:start w:val="1"/>
      <w:numFmt w:val="decimal"/>
      <w:lvlText w:val="%1.%2"/>
      <w:lvlJc w:val="left"/>
      <w:pPr>
        <w:ind w:hanging="720"/>
      </w:pPr>
      <w:rPr>
        <w:rFonts w:hint="default" w:ascii="宋体" w:hAnsi="宋体" w:eastAsia="宋体"/>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1">
    <w:nsid w:val="35390902"/>
    <w:multiLevelType w:val="multilevel"/>
    <w:tmpl w:val="35390902"/>
    <w:lvl w:ilvl="0" w:tentative="0">
      <w:start w:val="1"/>
      <w:numFmt w:val="decimal"/>
      <w:pStyle w:val="159"/>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373818BD"/>
    <w:multiLevelType w:val="multilevel"/>
    <w:tmpl w:val="373818BD"/>
    <w:lvl w:ilvl="0" w:tentative="0">
      <w:start w:val="17"/>
      <w:numFmt w:val="decimal"/>
      <w:lvlText w:val="%1"/>
      <w:lvlJc w:val="left"/>
      <w:pPr>
        <w:ind w:hanging="720"/>
      </w:pPr>
      <w:rPr>
        <w:rFonts w:hint="default"/>
      </w:rPr>
    </w:lvl>
    <w:lvl w:ilvl="1" w:tentative="0">
      <w:start w:val="5"/>
      <w:numFmt w:val="decimal"/>
      <w:lvlText w:val="%1.%2"/>
      <w:lvlJc w:val="left"/>
      <w:pPr>
        <w:ind w:hanging="720"/>
      </w:pPr>
      <w:rPr>
        <w:rFonts w:hint="default" w:ascii="宋体" w:hAnsi="宋体" w:eastAsia="宋体"/>
        <w:sz w:val="24"/>
        <w:szCs w:val="24"/>
      </w:rPr>
    </w:lvl>
    <w:lvl w:ilvl="2" w:tentative="0">
      <w:start w:val="1"/>
      <w:numFmt w:val="bullet"/>
      <w:lvlText w:val="•"/>
      <w:lvlJc w:val="left"/>
      <w:rPr>
        <w:rFonts w:hint="default"/>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3">
    <w:nsid w:val="42353814"/>
    <w:multiLevelType w:val="multilevel"/>
    <w:tmpl w:val="42353814"/>
    <w:lvl w:ilvl="0" w:tentative="0">
      <w:start w:val="1"/>
      <w:numFmt w:val="decimal"/>
      <w:lvlText w:val="%1"/>
      <w:lvlJc w:val="left"/>
      <w:pPr>
        <w:ind w:hanging="1052"/>
      </w:pPr>
      <w:rPr>
        <w:rFonts w:hint="default"/>
      </w:rPr>
    </w:lvl>
    <w:lvl w:ilvl="1" w:tentative="0">
      <w:start w:val="1"/>
      <w:numFmt w:val="decimal"/>
      <w:lvlText w:val="%1.%2"/>
      <w:lvlJc w:val="left"/>
      <w:pPr>
        <w:ind w:hanging="1052"/>
      </w:pPr>
      <w:rPr>
        <w:rFonts w:hint="default"/>
      </w:rPr>
    </w:lvl>
    <w:lvl w:ilvl="2" w:tentative="0">
      <w:start w:val="3"/>
      <w:numFmt w:val="decimal"/>
      <w:lvlText w:val="%1.%2.%3"/>
      <w:lvlJc w:val="left"/>
      <w:pPr>
        <w:ind w:hanging="1052"/>
      </w:pPr>
      <w:rPr>
        <w:rFonts w:hint="default"/>
      </w:rPr>
    </w:lvl>
    <w:lvl w:ilvl="3" w:tentative="0">
      <w:start w:val="10"/>
      <w:numFmt w:val="decimal"/>
      <w:lvlText w:val="%1.%2.%3.%4"/>
      <w:lvlJc w:val="left"/>
      <w:pPr>
        <w:ind w:hanging="1052"/>
      </w:pPr>
      <w:rPr>
        <w:rFonts w:hint="default" w:ascii="宋体" w:hAnsi="宋体" w:eastAsia="宋体"/>
        <w:sz w:val="21"/>
        <w:szCs w:val="21"/>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14">
    <w:nsid w:val="6F8171EF"/>
    <w:multiLevelType w:val="multilevel"/>
    <w:tmpl w:val="6F8171EF"/>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5"/>
  </w:num>
  <w:num w:numId="3">
    <w:abstractNumId w:val="9"/>
  </w:num>
  <w:num w:numId="4">
    <w:abstractNumId w:val="11"/>
  </w:num>
  <w:num w:numId="5">
    <w:abstractNumId w:val="8"/>
  </w:num>
  <w:num w:numId="6">
    <w:abstractNumId w:val="2"/>
  </w:num>
  <w:num w:numId="7">
    <w:abstractNumId w:val="7"/>
  </w:num>
  <w:num w:numId="8">
    <w:abstractNumId w:val="4"/>
  </w:num>
  <w:num w:numId="9">
    <w:abstractNumId w:val="13"/>
  </w:num>
  <w:num w:numId="10">
    <w:abstractNumId w:val="1"/>
  </w:num>
  <w:num w:numId="11">
    <w:abstractNumId w:val="6"/>
  </w:num>
  <w:num w:numId="12">
    <w:abstractNumId w:val="10"/>
  </w:num>
  <w:num w:numId="13">
    <w:abstractNumId w:val="12"/>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0AD"/>
    <w:rsid w:val="0000030C"/>
    <w:rsid w:val="000005EE"/>
    <w:rsid w:val="0000075C"/>
    <w:rsid w:val="00000CFE"/>
    <w:rsid w:val="00001CA3"/>
    <w:rsid w:val="000021E3"/>
    <w:rsid w:val="0000243A"/>
    <w:rsid w:val="00002725"/>
    <w:rsid w:val="0000286B"/>
    <w:rsid w:val="00002C76"/>
    <w:rsid w:val="0000438A"/>
    <w:rsid w:val="00004588"/>
    <w:rsid w:val="000045A3"/>
    <w:rsid w:val="00004612"/>
    <w:rsid w:val="00004716"/>
    <w:rsid w:val="0000577A"/>
    <w:rsid w:val="00005D8D"/>
    <w:rsid w:val="00005FC7"/>
    <w:rsid w:val="000065A2"/>
    <w:rsid w:val="000069B8"/>
    <w:rsid w:val="00006C77"/>
    <w:rsid w:val="00006E43"/>
    <w:rsid w:val="0000742B"/>
    <w:rsid w:val="00007B84"/>
    <w:rsid w:val="00010858"/>
    <w:rsid w:val="00010973"/>
    <w:rsid w:val="00010B82"/>
    <w:rsid w:val="00010D7C"/>
    <w:rsid w:val="00010F69"/>
    <w:rsid w:val="000111EB"/>
    <w:rsid w:val="00012334"/>
    <w:rsid w:val="000126FC"/>
    <w:rsid w:val="00012B5A"/>
    <w:rsid w:val="00012D89"/>
    <w:rsid w:val="00012E05"/>
    <w:rsid w:val="00013A5F"/>
    <w:rsid w:val="00013B8A"/>
    <w:rsid w:val="00013FBB"/>
    <w:rsid w:val="0001437C"/>
    <w:rsid w:val="00014413"/>
    <w:rsid w:val="000146C2"/>
    <w:rsid w:val="00014979"/>
    <w:rsid w:val="00014EF5"/>
    <w:rsid w:val="00014F6E"/>
    <w:rsid w:val="000150FA"/>
    <w:rsid w:val="00015251"/>
    <w:rsid w:val="00015A79"/>
    <w:rsid w:val="00015A9A"/>
    <w:rsid w:val="00015D21"/>
    <w:rsid w:val="00016180"/>
    <w:rsid w:val="000163AD"/>
    <w:rsid w:val="0001667D"/>
    <w:rsid w:val="0001697F"/>
    <w:rsid w:val="00016CA3"/>
    <w:rsid w:val="00016D3D"/>
    <w:rsid w:val="00016DF1"/>
    <w:rsid w:val="00016E6F"/>
    <w:rsid w:val="00020399"/>
    <w:rsid w:val="000206B9"/>
    <w:rsid w:val="00021226"/>
    <w:rsid w:val="00021FE2"/>
    <w:rsid w:val="00022110"/>
    <w:rsid w:val="0002241F"/>
    <w:rsid w:val="000227BF"/>
    <w:rsid w:val="00022889"/>
    <w:rsid w:val="00022B09"/>
    <w:rsid w:val="00022E50"/>
    <w:rsid w:val="00023220"/>
    <w:rsid w:val="000233FC"/>
    <w:rsid w:val="00023492"/>
    <w:rsid w:val="000235ED"/>
    <w:rsid w:val="0002390F"/>
    <w:rsid w:val="00023B24"/>
    <w:rsid w:val="00024074"/>
    <w:rsid w:val="0002432A"/>
    <w:rsid w:val="0002478F"/>
    <w:rsid w:val="00024918"/>
    <w:rsid w:val="00024C1D"/>
    <w:rsid w:val="00024FAD"/>
    <w:rsid w:val="0002507A"/>
    <w:rsid w:val="000253B8"/>
    <w:rsid w:val="00025785"/>
    <w:rsid w:val="00025837"/>
    <w:rsid w:val="00025CB5"/>
    <w:rsid w:val="00025FE1"/>
    <w:rsid w:val="00026D9A"/>
    <w:rsid w:val="00026FD2"/>
    <w:rsid w:val="00027B23"/>
    <w:rsid w:val="00027F72"/>
    <w:rsid w:val="00030419"/>
    <w:rsid w:val="00030BFB"/>
    <w:rsid w:val="00030CB4"/>
    <w:rsid w:val="00030DF3"/>
    <w:rsid w:val="00031EA1"/>
    <w:rsid w:val="00032749"/>
    <w:rsid w:val="000328E1"/>
    <w:rsid w:val="00032902"/>
    <w:rsid w:val="00032B8F"/>
    <w:rsid w:val="00032C30"/>
    <w:rsid w:val="00033A87"/>
    <w:rsid w:val="00033BEA"/>
    <w:rsid w:val="00033CEA"/>
    <w:rsid w:val="00034081"/>
    <w:rsid w:val="000340A0"/>
    <w:rsid w:val="00034F6A"/>
    <w:rsid w:val="00035229"/>
    <w:rsid w:val="000352C7"/>
    <w:rsid w:val="000354FF"/>
    <w:rsid w:val="000356B4"/>
    <w:rsid w:val="0003572F"/>
    <w:rsid w:val="000359FA"/>
    <w:rsid w:val="00035D5D"/>
    <w:rsid w:val="000367BE"/>
    <w:rsid w:val="00036885"/>
    <w:rsid w:val="0003705A"/>
    <w:rsid w:val="000371C1"/>
    <w:rsid w:val="000379AD"/>
    <w:rsid w:val="00037BE1"/>
    <w:rsid w:val="00037C31"/>
    <w:rsid w:val="00037E6A"/>
    <w:rsid w:val="000404C9"/>
    <w:rsid w:val="00041081"/>
    <w:rsid w:val="000411EE"/>
    <w:rsid w:val="00041217"/>
    <w:rsid w:val="0004149E"/>
    <w:rsid w:val="0004154E"/>
    <w:rsid w:val="000415BD"/>
    <w:rsid w:val="00042543"/>
    <w:rsid w:val="00042736"/>
    <w:rsid w:val="00042893"/>
    <w:rsid w:val="0004289C"/>
    <w:rsid w:val="00042AE0"/>
    <w:rsid w:val="00042BCC"/>
    <w:rsid w:val="00043785"/>
    <w:rsid w:val="00043925"/>
    <w:rsid w:val="000444D0"/>
    <w:rsid w:val="000447BC"/>
    <w:rsid w:val="00044920"/>
    <w:rsid w:val="00045142"/>
    <w:rsid w:val="00045799"/>
    <w:rsid w:val="00045BC3"/>
    <w:rsid w:val="00046026"/>
    <w:rsid w:val="0004685B"/>
    <w:rsid w:val="000469B5"/>
    <w:rsid w:val="00046CA9"/>
    <w:rsid w:val="00047645"/>
    <w:rsid w:val="00047B13"/>
    <w:rsid w:val="000504CB"/>
    <w:rsid w:val="00050A88"/>
    <w:rsid w:val="00050C1F"/>
    <w:rsid w:val="00050F64"/>
    <w:rsid w:val="00051231"/>
    <w:rsid w:val="000514DE"/>
    <w:rsid w:val="0005199E"/>
    <w:rsid w:val="00051A30"/>
    <w:rsid w:val="00052049"/>
    <w:rsid w:val="000527F1"/>
    <w:rsid w:val="00052ABA"/>
    <w:rsid w:val="00052D9A"/>
    <w:rsid w:val="00052F0F"/>
    <w:rsid w:val="00053367"/>
    <w:rsid w:val="000537F1"/>
    <w:rsid w:val="000537FB"/>
    <w:rsid w:val="00053A4C"/>
    <w:rsid w:val="00054262"/>
    <w:rsid w:val="0005471D"/>
    <w:rsid w:val="00054CDC"/>
    <w:rsid w:val="000553C4"/>
    <w:rsid w:val="0005588C"/>
    <w:rsid w:val="00055A54"/>
    <w:rsid w:val="00055EBC"/>
    <w:rsid w:val="00056776"/>
    <w:rsid w:val="000568F2"/>
    <w:rsid w:val="00056C50"/>
    <w:rsid w:val="0005706C"/>
    <w:rsid w:val="0005730B"/>
    <w:rsid w:val="00057532"/>
    <w:rsid w:val="00057726"/>
    <w:rsid w:val="00057AF7"/>
    <w:rsid w:val="00057D1E"/>
    <w:rsid w:val="00057DBF"/>
    <w:rsid w:val="00060190"/>
    <w:rsid w:val="00060475"/>
    <w:rsid w:val="00060D33"/>
    <w:rsid w:val="00060D90"/>
    <w:rsid w:val="00061807"/>
    <w:rsid w:val="00061822"/>
    <w:rsid w:val="00061D56"/>
    <w:rsid w:val="00061DFB"/>
    <w:rsid w:val="00061E06"/>
    <w:rsid w:val="0006249E"/>
    <w:rsid w:val="00062531"/>
    <w:rsid w:val="00062ACC"/>
    <w:rsid w:val="00062ADC"/>
    <w:rsid w:val="00063201"/>
    <w:rsid w:val="00063675"/>
    <w:rsid w:val="00063CCB"/>
    <w:rsid w:val="000641A2"/>
    <w:rsid w:val="000646E6"/>
    <w:rsid w:val="000647DF"/>
    <w:rsid w:val="00064F9F"/>
    <w:rsid w:val="0006530C"/>
    <w:rsid w:val="00066242"/>
    <w:rsid w:val="00066246"/>
    <w:rsid w:val="00066B3A"/>
    <w:rsid w:val="00066C05"/>
    <w:rsid w:val="00067B50"/>
    <w:rsid w:val="00067BB7"/>
    <w:rsid w:val="0007003D"/>
    <w:rsid w:val="000701BD"/>
    <w:rsid w:val="000703E6"/>
    <w:rsid w:val="000707CC"/>
    <w:rsid w:val="0007081A"/>
    <w:rsid w:val="00070884"/>
    <w:rsid w:val="000708BB"/>
    <w:rsid w:val="00070E8B"/>
    <w:rsid w:val="00071153"/>
    <w:rsid w:val="000711D7"/>
    <w:rsid w:val="00071421"/>
    <w:rsid w:val="00071499"/>
    <w:rsid w:val="00071879"/>
    <w:rsid w:val="00071884"/>
    <w:rsid w:val="00071906"/>
    <w:rsid w:val="0007219A"/>
    <w:rsid w:val="00072858"/>
    <w:rsid w:val="00072973"/>
    <w:rsid w:val="000729CC"/>
    <w:rsid w:val="00072D37"/>
    <w:rsid w:val="00072D50"/>
    <w:rsid w:val="00072E4B"/>
    <w:rsid w:val="00073BCC"/>
    <w:rsid w:val="00073D6F"/>
    <w:rsid w:val="00073DFB"/>
    <w:rsid w:val="00073EB2"/>
    <w:rsid w:val="00073FC2"/>
    <w:rsid w:val="000744FA"/>
    <w:rsid w:val="00075023"/>
    <w:rsid w:val="00075B78"/>
    <w:rsid w:val="00076190"/>
    <w:rsid w:val="000762DA"/>
    <w:rsid w:val="00076374"/>
    <w:rsid w:val="00076766"/>
    <w:rsid w:val="000767DF"/>
    <w:rsid w:val="00076E7F"/>
    <w:rsid w:val="000772D8"/>
    <w:rsid w:val="000775BB"/>
    <w:rsid w:val="0008161C"/>
    <w:rsid w:val="00081AB0"/>
    <w:rsid w:val="0008201E"/>
    <w:rsid w:val="0008222A"/>
    <w:rsid w:val="00082CCF"/>
    <w:rsid w:val="0008346B"/>
    <w:rsid w:val="0008347E"/>
    <w:rsid w:val="00083835"/>
    <w:rsid w:val="0008392F"/>
    <w:rsid w:val="00083B8C"/>
    <w:rsid w:val="00083F71"/>
    <w:rsid w:val="000841FC"/>
    <w:rsid w:val="00084355"/>
    <w:rsid w:val="00084621"/>
    <w:rsid w:val="000854BE"/>
    <w:rsid w:val="00085759"/>
    <w:rsid w:val="00085766"/>
    <w:rsid w:val="000859EB"/>
    <w:rsid w:val="00085B91"/>
    <w:rsid w:val="00085E86"/>
    <w:rsid w:val="00085FE7"/>
    <w:rsid w:val="0008619C"/>
    <w:rsid w:val="000866DE"/>
    <w:rsid w:val="000877AD"/>
    <w:rsid w:val="00090FFA"/>
    <w:rsid w:val="00091074"/>
    <w:rsid w:val="000912B1"/>
    <w:rsid w:val="0009138B"/>
    <w:rsid w:val="0009184E"/>
    <w:rsid w:val="00092329"/>
    <w:rsid w:val="000929C0"/>
    <w:rsid w:val="0009365D"/>
    <w:rsid w:val="00093697"/>
    <w:rsid w:val="00093B3D"/>
    <w:rsid w:val="0009407A"/>
    <w:rsid w:val="00094334"/>
    <w:rsid w:val="00094775"/>
    <w:rsid w:val="00094B2D"/>
    <w:rsid w:val="0009525F"/>
    <w:rsid w:val="0009535A"/>
    <w:rsid w:val="0009539B"/>
    <w:rsid w:val="000954B8"/>
    <w:rsid w:val="000957C8"/>
    <w:rsid w:val="00095819"/>
    <w:rsid w:val="00095FCD"/>
    <w:rsid w:val="000964BA"/>
    <w:rsid w:val="00096768"/>
    <w:rsid w:val="00096D45"/>
    <w:rsid w:val="00097B2F"/>
    <w:rsid w:val="000A01C4"/>
    <w:rsid w:val="000A04D7"/>
    <w:rsid w:val="000A0A32"/>
    <w:rsid w:val="000A0A5A"/>
    <w:rsid w:val="000A0E5E"/>
    <w:rsid w:val="000A14C9"/>
    <w:rsid w:val="000A1DA6"/>
    <w:rsid w:val="000A1E9F"/>
    <w:rsid w:val="000A214D"/>
    <w:rsid w:val="000A2277"/>
    <w:rsid w:val="000A2B4B"/>
    <w:rsid w:val="000A2B5C"/>
    <w:rsid w:val="000A3EE2"/>
    <w:rsid w:val="000A4019"/>
    <w:rsid w:val="000A4642"/>
    <w:rsid w:val="000A48FD"/>
    <w:rsid w:val="000A4DA0"/>
    <w:rsid w:val="000A5122"/>
    <w:rsid w:val="000A5702"/>
    <w:rsid w:val="000A5730"/>
    <w:rsid w:val="000A5832"/>
    <w:rsid w:val="000A5952"/>
    <w:rsid w:val="000A6B9C"/>
    <w:rsid w:val="000A6E08"/>
    <w:rsid w:val="000A7003"/>
    <w:rsid w:val="000A7132"/>
    <w:rsid w:val="000A72FA"/>
    <w:rsid w:val="000A75CE"/>
    <w:rsid w:val="000A7685"/>
    <w:rsid w:val="000B0066"/>
    <w:rsid w:val="000B02C2"/>
    <w:rsid w:val="000B0380"/>
    <w:rsid w:val="000B0D8E"/>
    <w:rsid w:val="000B135A"/>
    <w:rsid w:val="000B1373"/>
    <w:rsid w:val="000B1949"/>
    <w:rsid w:val="000B1BE6"/>
    <w:rsid w:val="000B20EA"/>
    <w:rsid w:val="000B214D"/>
    <w:rsid w:val="000B2239"/>
    <w:rsid w:val="000B24A6"/>
    <w:rsid w:val="000B28ED"/>
    <w:rsid w:val="000B2952"/>
    <w:rsid w:val="000B2B68"/>
    <w:rsid w:val="000B33A0"/>
    <w:rsid w:val="000B366C"/>
    <w:rsid w:val="000B36E8"/>
    <w:rsid w:val="000B3975"/>
    <w:rsid w:val="000B39F0"/>
    <w:rsid w:val="000B3E8A"/>
    <w:rsid w:val="000B41F6"/>
    <w:rsid w:val="000B4B2E"/>
    <w:rsid w:val="000B4C3B"/>
    <w:rsid w:val="000B4EDC"/>
    <w:rsid w:val="000B510D"/>
    <w:rsid w:val="000B51E9"/>
    <w:rsid w:val="000B51F6"/>
    <w:rsid w:val="000B5D6C"/>
    <w:rsid w:val="000B5E1D"/>
    <w:rsid w:val="000B6384"/>
    <w:rsid w:val="000B660E"/>
    <w:rsid w:val="000B665F"/>
    <w:rsid w:val="000B694E"/>
    <w:rsid w:val="000B6EE8"/>
    <w:rsid w:val="000B74CD"/>
    <w:rsid w:val="000B7C94"/>
    <w:rsid w:val="000C0074"/>
    <w:rsid w:val="000C022D"/>
    <w:rsid w:val="000C0C7A"/>
    <w:rsid w:val="000C1146"/>
    <w:rsid w:val="000C1227"/>
    <w:rsid w:val="000C1587"/>
    <w:rsid w:val="000C1650"/>
    <w:rsid w:val="000C182A"/>
    <w:rsid w:val="000C1A1B"/>
    <w:rsid w:val="000C1A5F"/>
    <w:rsid w:val="000C1AB0"/>
    <w:rsid w:val="000C2452"/>
    <w:rsid w:val="000C2541"/>
    <w:rsid w:val="000C257E"/>
    <w:rsid w:val="000C2652"/>
    <w:rsid w:val="000C3565"/>
    <w:rsid w:val="000C3BE3"/>
    <w:rsid w:val="000C3C5F"/>
    <w:rsid w:val="000C3FB1"/>
    <w:rsid w:val="000C43DF"/>
    <w:rsid w:val="000C4F1F"/>
    <w:rsid w:val="000C6215"/>
    <w:rsid w:val="000C6730"/>
    <w:rsid w:val="000C687A"/>
    <w:rsid w:val="000C6913"/>
    <w:rsid w:val="000C6B70"/>
    <w:rsid w:val="000C6E33"/>
    <w:rsid w:val="000C7100"/>
    <w:rsid w:val="000C7E8E"/>
    <w:rsid w:val="000D0224"/>
    <w:rsid w:val="000D095F"/>
    <w:rsid w:val="000D11CA"/>
    <w:rsid w:val="000D2094"/>
    <w:rsid w:val="000D236D"/>
    <w:rsid w:val="000D2EEA"/>
    <w:rsid w:val="000D33FD"/>
    <w:rsid w:val="000D3522"/>
    <w:rsid w:val="000D4339"/>
    <w:rsid w:val="000D46A9"/>
    <w:rsid w:val="000D48C8"/>
    <w:rsid w:val="000D48E7"/>
    <w:rsid w:val="000D4F73"/>
    <w:rsid w:val="000D577A"/>
    <w:rsid w:val="000D5CC7"/>
    <w:rsid w:val="000D5FDB"/>
    <w:rsid w:val="000D69F0"/>
    <w:rsid w:val="000D7881"/>
    <w:rsid w:val="000D7E73"/>
    <w:rsid w:val="000D7E8D"/>
    <w:rsid w:val="000D7ECE"/>
    <w:rsid w:val="000E01A9"/>
    <w:rsid w:val="000E0B1D"/>
    <w:rsid w:val="000E0BA3"/>
    <w:rsid w:val="000E1237"/>
    <w:rsid w:val="000E12DC"/>
    <w:rsid w:val="000E185D"/>
    <w:rsid w:val="000E1C9B"/>
    <w:rsid w:val="000E1EFD"/>
    <w:rsid w:val="000E214F"/>
    <w:rsid w:val="000E2BE1"/>
    <w:rsid w:val="000E4096"/>
    <w:rsid w:val="000E4194"/>
    <w:rsid w:val="000E43D6"/>
    <w:rsid w:val="000E4581"/>
    <w:rsid w:val="000E4A6A"/>
    <w:rsid w:val="000E4E65"/>
    <w:rsid w:val="000E5118"/>
    <w:rsid w:val="000E65F9"/>
    <w:rsid w:val="000E6B83"/>
    <w:rsid w:val="000E6F90"/>
    <w:rsid w:val="000E6FAF"/>
    <w:rsid w:val="000E72DD"/>
    <w:rsid w:val="000E75CC"/>
    <w:rsid w:val="000E7610"/>
    <w:rsid w:val="000E76E9"/>
    <w:rsid w:val="000E7BA3"/>
    <w:rsid w:val="000E7CBA"/>
    <w:rsid w:val="000E7E04"/>
    <w:rsid w:val="000E7ED3"/>
    <w:rsid w:val="000F0226"/>
    <w:rsid w:val="000F0546"/>
    <w:rsid w:val="000F0A05"/>
    <w:rsid w:val="000F0B15"/>
    <w:rsid w:val="000F0D9D"/>
    <w:rsid w:val="000F0E7C"/>
    <w:rsid w:val="000F10DD"/>
    <w:rsid w:val="000F1D8D"/>
    <w:rsid w:val="000F28B8"/>
    <w:rsid w:val="000F2A57"/>
    <w:rsid w:val="000F2DE0"/>
    <w:rsid w:val="000F3182"/>
    <w:rsid w:val="000F3580"/>
    <w:rsid w:val="000F3928"/>
    <w:rsid w:val="000F41F3"/>
    <w:rsid w:val="000F4880"/>
    <w:rsid w:val="000F4B79"/>
    <w:rsid w:val="000F4C1B"/>
    <w:rsid w:val="000F4CC7"/>
    <w:rsid w:val="000F6340"/>
    <w:rsid w:val="000F6499"/>
    <w:rsid w:val="000F6576"/>
    <w:rsid w:val="000F6853"/>
    <w:rsid w:val="000F6D8C"/>
    <w:rsid w:val="000F70A0"/>
    <w:rsid w:val="000F717F"/>
    <w:rsid w:val="000F736B"/>
    <w:rsid w:val="000F7543"/>
    <w:rsid w:val="000F7694"/>
    <w:rsid w:val="00100341"/>
    <w:rsid w:val="001004F3"/>
    <w:rsid w:val="00100793"/>
    <w:rsid w:val="00100886"/>
    <w:rsid w:val="0010094B"/>
    <w:rsid w:val="00100B35"/>
    <w:rsid w:val="00100C1A"/>
    <w:rsid w:val="00100C7E"/>
    <w:rsid w:val="0010135C"/>
    <w:rsid w:val="00101481"/>
    <w:rsid w:val="0010164E"/>
    <w:rsid w:val="00101A5D"/>
    <w:rsid w:val="0010308F"/>
    <w:rsid w:val="00103546"/>
    <w:rsid w:val="00103748"/>
    <w:rsid w:val="001037E4"/>
    <w:rsid w:val="0010435C"/>
    <w:rsid w:val="001045B0"/>
    <w:rsid w:val="00104A05"/>
    <w:rsid w:val="00104FDC"/>
    <w:rsid w:val="001053A1"/>
    <w:rsid w:val="00105C93"/>
    <w:rsid w:val="001061E2"/>
    <w:rsid w:val="00106C9B"/>
    <w:rsid w:val="001072A9"/>
    <w:rsid w:val="0010754C"/>
    <w:rsid w:val="001077C7"/>
    <w:rsid w:val="001104B5"/>
    <w:rsid w:val="00110AF9"/>
    <w:rsid w:val="0011174D"/>
    <w:rsid w:val="001118C3"/>
    <w:rsid w:val="00111E9B"/>
    <w:rsid w:val="00112082"/>
    <w:rsid w:val="001122BE"/>
    <w:rsid w:val="001127A3"/>
    <w:rsid w:val="00112CA7"/>
    <w:rsid w:val="00112EC0"/>
    <w:rsid w:val="0011314D"/>
    <w:rsid w:val="00113321"/>
    <w:rsid w:val="001134CD"/>
    <w:rsid w:val="00113CF1"/>
    <w:rsid w:val="00113EA4"/>
    <w:rsid w:val="001141D4"/>
    <w:rsid w:val="001145BA"/>
    <w:rsid w:val="001147B0"/>
    <w:rsid w:val="00114903"/>
    <w:rsid w:val="0011517A"/>
    <w:rsid w:val="0011526D"/>
    <w:rsid w:val="00115470"/>
    <w:rsid w:val="00115DAE"/>
    <w:rsid w:val="00116562"/>
    <w:rsid w:val="001166D4"/>
    <w:rsid w:val="00116747"/>
    <w:rsid w:val="00116DA8"/>
    <w:rsid w:val="00117779"/>
    <w:rsid w:val="00117D61"/>
    <w:rsid w:val="00120883"/>
    <w:rsid w:val="00120996"/>
    <w:rsid w:val="00120CCB"/>
    <w:rsid w:val="00122094"/>
    <w:rsid w:val="001221E9"/>
    <w:rsid w:val="00123C2B"/>
    <w:rsid w:val="00123CFB"/>
    <w:rsid w:val="001256A6"/>
    <w:rsid w:val="00125A9B"/>
    <w:rsid w:val="00125BC3"/>
    <w:rsid w:val="00126000"/>
    <w:rsid w:val="00126156"/>
    <w:rsid w:val="0012639A"/>
    <w:rsid w:val="00126750"/>
    <w:rsid w:val="0012696C"/>
    <w:rsid w:val="00126DBB"/>
    <w:rsid w:val="00127520"/>
    <w:rsid w:val="00127BF1"/>
    <w:rsid w:val="0013006E"/>
    <w:rsid w:val="001301A5"/>
    <w:rsid w:val="001301CB"/>
    <w:rsid w:val="00130DFD"/>
    <w:rsid w:val="00131018"/>
    <w:rsid w:val="0013131D"/>
    <w:rsid w:val="00131405"/>
    <w:rsid w:val="001315CA"/>
    <w:rsid w:val="00131654"/>
    <w:rsid w:val="00131698"/>
    <w:rsid w:val="00131828"/>
    <w:rsid w:val="00131949"/>
    <w:rsid w:val="00131DED"/>
    <w:rsid w:val="00132129"/>
    <w:rsid w:val="0013322D"/>
    <w:rsid w:val="001333A2"/>
    <w:rsid w:val="001335AC"/>
    <w:rsid w:val="00134121"/>
    <w:rsid w:val="0013444A"/>
    <w:rsid w:val="0013483B"/>
    <w:rsid w:val="001349DE"/>
    <w:rsid w:val="00135218"/>
    <w:rsid w:val="00135502"/>
    <w:rsid w:val="00135B05"/>
    <w:rsid w:val="0013611C"/>
    <w:rsid w:val="00136480"/>
    <w:rsid w:val="00136D74"/>
    <w:rsid w:val="00136E61"/>
    <w:rsid w:val="00136FDC"/>
    <w:rsid w:val="00137591"/>
    <w:rsid w:val="00140457"/>
    <w:rsid w:val="00140582"/>
    <w:rsid w:val="0014072D"/>
    <w:rsid w:val="001408E4"/>
    <w:rsid w:val="001417B0"/>
    <w:rsid w:val="00141C27"/>
    <w:rsid w:val="00141F36"/>
    <w:rsid w:val="0014204A"/>
    <w:rsid w:val="00142865"/>
    <w:rsid w:val="00142C91"/>
    <w:rsid w:val="001430F2"/>
    <w:rsid w:val="001438FD"/>
    <w:rsid w:val="00143D28"/>
    <w:rsid w:val="00144165"/>
    <w:rsid w:val="00144273"/>
    <w:rsid w:val="00144B5B"/>
    <w:rsid w:val="0014517C"/>
    <w:rsid w:val="001455A5"/>
    <w:rsid w:val="0014632B"/>
    <w:rsid w:val="00146CDD"/>
    <w:rsid w:val="001472CB"/>
    <w:rsid w:val="00147ABF"/>
    <w:rsid w:val="00147AC4"/>
    <w:rsid w:val="00150021"/>
    <w:rsid w:val="00150B56"/>
    <w:rsid w:val="0015161C"/>
    <w:rsid w:val="00151735"/>
    <w:rsid w:val="00151C12"/>
    <w:rsid w:val="00151F42"/>
    <w:rsid w:val="001524C7"/>
    <w:rsid w:val="00153055"/>
    <w:rsid w:val="0015392A"/>
    <w:rsid w:val="001539CD"/>
    <w:rsid w:val="00153A0F"/>
    <w:rsid w:val="00154123"/>
    <w:rsid w:val="00154CF3"/>
    <w:rsid w:val="00155400"/>
    <w:rsid w:val="0015565F"/>
    <w:rsid w:val="00155A5A"/>
    <w:rsid w:val="00155B1B"/>
    <w:rsid w:val="00156576"/>
    <w:rsid w:val="00156DF2"/>
    <w:rsid w:val="00156FAF"/>
    <w:rsid w:val="00156FB9"/>
    <w:rsid w:val="00157493"/>
    <w:rsid w:val="00157764"/>
    <w:rsid w:val="001577E6"/>
    <w:rsid w:val="00160267"/>
    <w:rsid w:val="00160633"/>
    <w:rsid w:val="00160B9F"/>
    <w:rsid w:val="00160CDE"/>
    <w:rsid w:val="001610B1"/>
    <w:rsid w:val="00161332"/>
    <w:rsid w:val="00161C39"/>
    <w:rsid w:val="001627E3"/>
    <w:rsid w:val="001627FA"/>
    <w:rsid w:val="00162F80"/>
    <w:rsid w:val="00162FDD"/>
    <w:rsid w:val="00163224"/>
    <w:rsid w:val="001639E1"/>
    <w:rsid w:val="00163CBB"/>
    <w:rsid w:val="00163DD5"/>
    <w:rsid w:val="00164FBA"/>
    <w:rsid w:val="001655CA"/>
    <w:rsid w:val="001659A1"/>
    <w:rsid w:val="00165D6F"/>
    <w:rsid w:val="00166309"/>
    <w:rsid w:val="00167660"/>
    <w:rsid w:val="00167790"/>
    <w:rsid w:val="00167B90"/>
    <w:rsid w:val="0017000B"/>
    <w:rsid w:val="00170134"/>
    <w:rsid w:val="001703C7"/>
    <w:rsid w:val="00170674"/>
    <w:rsid w:val="0017079C"/>
    <w:rsid w:val="00170E77"/>
    <w:rsid w:val="00171EB4"/>
    <w:rsid w:val="00172167"/>
    <w:rsid w:val="00172386"/>
    <w:rsid w:val="001724BA"/>
    <w:rsid w:val="0017291D"/>
    <w:rsid w:val="00172A27"/>
    <w:rsid w:val="0017304A"/>
    <w:rsid w:val="001731D3"/>
    <w:rsid w:val="00173314"/>
    <w:rsid w:val="00173404"/>
    <w:rsid w:val="00173791"/>
    <w:rsid w:val="0017380C"/>
    <w:rsid w:val="00173902"/>
    <w:rsid w:val="00173B02"/>
    <w:rsid w:val="0017418C"/>
    <w:rsid w:val="001743AE"/>
    <w:rsid w:val="00174CAE"/>
    <w:rsid w:val="00175702"/>
    <w:rsid w:val="0017593F"/>
    <w:rsid w:val="00175EA6"/>
    <w:rsid w:val="00175FB6"/>
    <w:rsid w:val="001762B4"/>
    <w:rsid w:val="001762B9"/>
    <w:rsid w:val="00176B9C"/>
    <w:rsid w:val="00176F41"/>
    <w:rsid w:val="00177B2A"/>
    <w:rsid w:val="00180544"/>
    <w:rsid w:val="00180CBF"/>
    <w:rsid w:val="00180E01"/>
    <w:rsid w:val="0018190E"/>
    <w:rsid w:val="00181DA5"/>
    <w:rsid w:val="00181EE4"/>
    <w:rsid w:val="00181F02"/>
    <w:rsid w:val="00182F8E"/>
    <w:rsid w:val="00183A63"/>
    <w:rsid w:val="00183B5D"/>
    <w:rsid w:val="00184648"/>
    <w:rsid w:val="00184686"/>
    <w:rsid w:val="00184C92"/>
    <w:rsid w:val="00184D5F"/>
    <w:rsid w:val="00185829"/>
    <w:rsid w:val="0018656B"/>
    <w:rsid w:val="00186D44"/>
    <w:rsid w:val="001870EC"/>
    <w:rsid w:val="001872F9"/>
    <w:rsid w:val="00187427"/>
    <w:rsid w:val="00190208"/>
    <w:rsid w:val="0019022C"/>
    <w:rsid w:val="00190403"/>
    <w:rsid w:val="00190EE4"/>
    <w:rsid w:val="00191023"/>
    <w:rsid w:val="001916F1"/>
    <w:rsid w:val="00191C71"/>
    <w:rsid w:val="00192334"/>
    <w:rsid w:val="001924D8"/>
    <w:rsid w:val="00192903"/>
    <w:rsid w:val="00192D0B"/>
    <w:rsid w:val="00192E56"/>
    <w:rsid w:val="00193697"/>
    <w:rsid w:val="00193792"/>
    <w:rsid w:val="001939E6"/>
    <w:rsid w:val="001940D1"/>
    <w:rsid w:val="001950CB"/>
    <w:rsid w:val="00195363"/>
    <w:rsid w:val="00195861"/>
    <w:rsid w:val="00195C99"/>
    <w:rsid w:val="00196C5D"/>
    <w:rsid w:val="00197072"/>
    <w:rsid w:val="00197318"/>
    <w:rsid w:val="0019794C"/>
    <w:rsid w:val="00197E23"/>
    <w:rsid w:val="00197F8C"/>
    <w:rsid w:val="001A02FD"/>
    <w:rsid w:val="001A057A"/>
    <w:rsid w:val="001A0659"/>
    <w:rsid w:val="001A0692"/>
    <w:rsid w:val="001A071B"/>
    <w:rsid w:val="001A07AC"/>
    <w:rsid w:val="001A097C"/>
    <w:rsid w:val="001A09C2"/>
    <w:rsid w:val="001A0DC7"/>
    <w:rsid w:val="001A0EA7"/>
    <w:rsid w:val="001A101F"/>
    <w:rsid w:val="001A1651"/>
    <w:rsid w:val="001A1920"/>
    <w:rsid w:val="001A19D2"/>
    <w:rsid w:val="001A1C1D"/>
    <w:rsid w:val="001A1E64"/>
    <w:rsid w:val="001A28F4"/>
    <w:rsid w:val="001A2B48"/>
    <w:rsid w:val="001A2C11"/>
    <w:rsid w:val="001A321B"/>
    <w:rsid w:val="001A39A2"/>
    <w:rsid w:val="001A39FC"/>
    <w:rsid w:val="001A3E09"/>
    <w:rsid w:val="001A41F3"/>
    <w:rsid w:val="001A4742"/>
    <w:rsid w:val="001A539F"/>
    <w:rsid w:val="001A55D9"/>
    <w:rsid w:val="001A55E2"/>
    <w:rsid w:val="001A5ADF"/>
    <w:rsid w:val="001A5FC5"/>
    <w:rsid w:val="001A60AD"/>
    <w:rsid w:val="001A6181"/>
    <w:rsid w:val="001A67B8"/>
    <w:rsid w:val="001A6B97"/>
    <w:rsid w:val="001A7566"/>
    <w:rsid w:val="001A779A"/>
    <w:rsid w:val="001A77F5"/>
    <w:rsid w:val="001A7A4C"/>
    <w:rsid w:val="001B03D0"/>
    <w:rsid w:val="001B086D"/>
    <w:rsid w:val="001B1E03"/>
    <w:rsid w:val="001B24F7"/>
    <w:rsid w:val="001B277C"/>
    <w:rsid w:val="001B2A9E"/>
    <w:rsid w:val="001B2FF0"/>
    <w:rsid w:val="001B3419"/>
    <w:rsid w:val="001B342F"/>
    <w:rsid w:val="001B3819"/>
    <w:rsid w:val="001B3BC1"/>
    <w:rsid w:val="001B4244"/>
    <w:rsid w:val="001B5486"/>
    <w:rsid w:val="001B5700"/>
    <w:rsid w:val="001B5C1A"/>
    <w:rsid w:val="001B61E9"/>
    <w:rsid w:val="001B674D"/>
    <w:rsid w:val="001B6B4B"/>
    <w:rsid w:val="001B6EA0"/>
    <w:rsid w:val="001B7365"/>
    <w:rsid w:val="001B7781"/>
    <w:rsid w:val="001C04B6"/>
    <w:rsid w:val="001C055E"/>
    <w:rsid w:val="001C056E"/>
    <w:rsid w:val="001C0B49"/>
    <w:rsid w:val="001C0D02"/>
    <w:rsid w:val="001C11E2"/>
    <w:rsid w:val="001C1363"/>
    <w:rsid w:val="001C1A0C"/>
    <w:rsid w:val="001C1E07"/>
    <w:rsid w:val="001C222A"/>
    <w:rsid w:val="001C2674"/>
    <w:rsid w:val="001C2B20"/>
    <w:rsid w:val="001C3111"/>
    <w:rsid w:val="001C377E"/>
    <w:rsid w:val="001C39EB"/>
    <w:rsid w:val="001C3B17"/>
    <w:rsid w:val="001C3CA3"/>
    <w:rsid w:val="001C3FAF"/>
    <w:rsid w:val="001C451E"/>
    <w:rsid w:val="001C5023"/>
    <w:rsid w:val="001C5692"/>
    <w:rsid w:val="001C56C8"/>
    <w:rsid w:val="001C57B7"/>
    <w:rsid w:val="001C5B5B"/>
    <w:rsid w:val="001C61F6"/>
    <w:rsid w:val="001C6333"/>
    <w:rsid w:val="001C64A8"/>
    <w:rsid w:val="001C6F22"/>
    <w:rsid w:val="001C6FA5"/>
    <w:rsid w:val="001C6FE5"/>
    <w:rsid w:val="001C7041"/>
    <w:rsid w:val="001C74B5"/>
    <w:rsid w:val="001D07D3"/>
    <w:rsid w:val="001D0947"/>
    <w:rsid w:val="001D1079"/>
    <w:rsid w:val="001D124D"/>
    <w:rsid w:val="001D1544"/>
    <w:rsid w:val="001D1A01"/>
    <w:rsid w:val="001D20C9"/>
    <w:rsid w:val="001D25FF"/>
    <w:rsid w:val="001D282D"/>
    <w:rsid w:val="001D29AA"/>
    <w:rsid w:val="001D2AC1"/>
    <w:rsid w:val="001D431A"/>
    <w:rsid w:val="001D470F"/>
    <w:rsid w:val="001D4A27"/>
    <w:rsid w:val="001D50E6"/>
    <w:rsid w:val="001D52A6"/>
    <w:rsid w:val="001D5A4B"/>
    <w:rsid w:val="001D5C5D"/>
    <w:rsid w:val="001D5C82"/>
    <w:rsid w:val="001D6947"/>
    <w:rsid w:val="001D78C9"/>
    <w:rsid w:val="001D7FCB"/>
    <w:rsid w:val="001E0152"/>
    <w:rsid w:val="001E0415"/>
    <w:rsid w:val="001E0B79"/>
    <w:rsid w:val="001E0FF0"/>
    <w:rsid w:val="001E113B"/>
    <w:rsid w:val="001E118D"/>
    <w:rsid w:val="001E13A8"/>
    <w:rsid w:val="001E180F"/>
    <w:rsid w:val="001E1917"/>
    <w:rsid w:val="001E199C"/>
    <w:rsid w:val="001E1DD0"/>
    <w:rsid w:val="001E210F"/>
    <w:rsid w:val="001E2176"/>
    <w:rsid w:val="001E285D"/>
    <w:rsid w:val="001E28C1"/>
    <w:rsid w:val="001E2C72"/>
    <w:rsid w:val="001E313E"/>
    <w:rsid w:val="001E33AC"/>
    <w:rsid w:val="001E350B"/>
    <w:rsid w:val="001E38EC"/>
    <w:rsid w:val="001E39B5"/>
    <w:rsid w:val="001E3AC6"/>
    <w:rsid w:val="001E3D4A"/>
    <w:rsid w:val="001E4BD1"/>
    <w:rsid w:val="001E4C5D"/>
    <w:rsid w:val="001E4D01"/>
    <w:rsid w:val="001E4D21"/>
    <w:rsid w:val="001E5284"/>
    <w:rsid w:val="001E5607"/>
    <w:rsid w:val="001E57BF"/>
    <w:rsid w:val="001E5CAD"/>
    <w:rsid w:val="001E5F37"/>
    <w:rsid w:val="001E648D"/>
    <w:rsid w:val="001E67F3"/>
    <w:rsid w:val="001E68FF"/>
    <w:rsid w:val="001E6A16"/>
    <w:rsid w:val="001E6D40"/>
    <w:rsid w:val="001E6D96"/>
    <w:rsid w:val="001E6F07"/>
    <w:rsid w:val="001E7421"/>
    <w:rsid w:val="001E788D"/>
    <w:rsid w:val="001E79AE"/>
    <w:rsid w:val="001E7BE6"/>
    <w:rsid w:val="001E7CFF"/>
    <w:rsid w:val="001E7FEC"/>
    <w:rsid w:val="001F013E"/>
    <w:rsid w:val="001F017C"/>
    <w:rsid w:val="001F0298"/>
    <w:rsid w:val="001F051C"/>
    <w:rsid w:val="001F21A8"/>
    <w:rsid w:val="001F242B"/>
    <w:rsid w:val="001F273C"/>
    <w:rsid w:val="001F321C"/>
    <w:rsid w:val="001F3328"/>
    <w:rsid w:val="001F335F"/>
    <w:rsid w:val="001F35CE"/>
    <w:rsid w:val="001F3854"/>
    <w:rsid w:val="001F3C5C"/>
    <w:rsid w:val="001F3E4E"/>
    <w:rsid w:val="001F3FAA"/>
    <w:rsid w:val="001F40A4"/>
    <w:rsid w:val="001F48C1"/>
    <w:rsid w:val="001F4AB8"/>
    <w:rsid w:val="001F53BE"/>
    <w:rsid w:val="001F53D6"/>
    <w:rsid w:val="001F5AB3"/>
    <w:rsid w:val="001F5DCC"/>
    <w:rsid w:val="001F5E61"/>
    <w:rsid w:val="001F5F51"/>
    <w:rsid w:val="001F66D3"/>
    <w:rsid w:val="001F69EC"/>
    <w:rsid w:val="001F6C68"/>
    <w:rsid w:val="001F705B"/>
    <w:rsid w:val="001F727D"/>
    <w:rsid w:val="001F72AA"/>
    <w:rsid w:val="001F7325"/>
    <w:rsid w:val="001F732B"/>
    <w:rsid w:val="001F7475"/>
    <w:rsid w:val="001F75C9"/>
    <w:rsid w:val="001F7C01"/>
    <w:rsid w:val="00200FE0"/>
    <w:rsid w:val="00201204"/>
    <w:rsid w:val="002012FE"/>
    <w:rsid w:val="00201802"/>
    <w:rsid w:val="00201BFC"/>
    <w:rsid w:val="00201E37"/>
    <w:rsid w:val="0020226F"/>
    <w:rsid w:val="00202C7D"/>
    <w:rsid w:val="00202E3F"/>
    <w:rsid w:val="00203035"/>
    <w:rsid w:val="0020320F"/>
    <w:rsid w:val="00203FBF"/>
    <w:rsid w:val="002045F4"/>
    <w:rsid w:val="00204664"/>
    <w:rsid w:val="00204EE4"/>
    <w:rsid w:val="0020589F"/>
    <w:rsid w:val="00205DE1"/>
    <w:rsid w:val="00206195"/>
    <w:rsid w:val="00206325"/>
    <w:rsid w:val="0020691A"/>
    <w:rsid w:val="00206FFC"/>
    <w:rsid w:val="00207162"/>
    <w:rsid w:val="00207212"/>
    <w:rsid w:val="00207616"/>
    <w:rsid w:val="00207796"/>
    <w:rsid w:val="00207E8B"/>
    <w:rsid w:val="00210E40"/>
    <w:rsid w:val="00211136"/>
    <w:rsid w:val="002112B7"/>
    <w:rsid w:val="00211670"/>
    <w:rsid w:val="002117EE"/>
    <w:rsid w:val="00211CFD"/>
    <w:rsid w:val="002122F1"/>
    <w:rsid w:val="002126DB"/>
    <w:rsid w:val="00212712"/>
    <w:rsid w:val="00212CCA"/>
    <w:rsid w:val="0021320F"/>
    <w:rsid w:val="00214732"/>
    <w:rsid w:val="002147A5"/>
    <w:rsid w:val="00214A93"/>
    <w:rsid w:val="00214CEA"/>
    <w:rsid w:val="00215932"/>
    <w:rsid w:val="00215C0F"/>
    <w:rsid w:val="002164C7"/>
    <w:rsid w:val="00216DE0"/>
    <w:rsid w:val="002172AD"/>
    <w:rsid w:val="0022026E"/>
    <w:rsid w:val="00220A38"/>
    <w:rsid w:val="002216EE"/>
    <w:rsid w:val="002216F1"/>
    <w:rsid w:val="00221737"/>
    <w:rsid w:val="00221766"/>
    <w:rsid w:val="00221F49"/>
    <w:rsid w:val="002228B9"/>
    <w:rsid w:val="00222A03"/>
    <w:rsid w:val="00222BFA"/>
    <w:rsid w:val="00222D70"/>
    <w:rsid w:val="00222FC1"/>
    <w:rsid w:val="00223A52"/>
    <w:rsid w:val="00223D78"/>
    <w:rsid w:val="0022445E"/>
    <w:rsid w:val="00224918"/>
    <w:rsid w:val="00224929"/>
    <w:rsid w:val="0022513F"/>
    <w:rsid w:val="00225947"/>
    <w:rsid w:val="00225A07"/>
    <w:rsid w:val="00225ACB"/>
    <w:rsid w:val="00225D53"/>
    <w:rsid w:val="00226085"/>
    <w:rsid w:val="00226141"/>
    <w:rsid w:val="00226256"/>
    <w:rsid w:val="0022642D"/>
    <w:rsid w:val="0022656C"/>
    <w:rsid w:val="0022665B"/>
    <w:rsid w:val="00226E6E"/>
    <w:rsid w:val="00227041"/>
    <w:rsid w:val="00227180"/>
    <w:rsid w:val="002272E7"/>
    <w:rsid w:val="00227B1E"/>
    <w:rsid w:val="00227C31"/>
    <w:rsid w:val="00230402"/>
    <w:rsid w:val="002305F3"/>
    <w:rsid w:val="002308ED"/>
    <w:rsid w:val="002308F6"/>
    <w:rsid w:val="00230F8D"/>
    <w:rsid w:val="0023156C"/>
    <w:rsid w:val="002315D2"/>
    <w:rsid w:val="00231AAE"/>
    <w:rsid w:val="00231B98"/>
    <w:rsid w:val="00231DF5"/>
    <w:rsid w:val="00231E90"/>
    <w:rsid w:val="00231FFA"/>
    <w:rsid w:val="00232189"/>
    <w:rsid w:val="00232281"/>
    <w:rsid w:val="00232628"/>
    <w:rsid w:val="0023269B"/>
    <w:rsid w:val="00232C31"/>
    <w:rsid w:val="0023341B"/>
    <w:rsid w:val="00233676"/>
    <w:rsid w:val="00233803"/>
    <w:rsid w:val="0023522F"/>
    <w:rsid w:val="002356B6"/>
    <w:rsid w:val="002358F7"/>
    <w:rsid w:val="002360F0"/>
    <w:rsid w:val="00236526"/>
    <w:rsid w:val="00236BF6"/>
    <w:rsid w:val="00236DC1"/>
    <w:rsid w:val="00237214"/>
    <w:rsid w:val="00237287"/>
    <w:rsid w:val="002373E8"/>
    <w:rsid w:val="00237AAB"/>
    <w:rsid w:val="002402D6"/>
    <w:rsid w:val="002402D8"/>
    <w:rsid w:val="00240475"/>
    <w:rsid w:val="00240777"/>
    <w:rsid w:val="00240E7C"/>
    <w:rsid w:val="00240FAF"/>
    <w:rsid w:val="00241185"/>
    <w:rsid w:val="00241298"/>
    <w:rsid w:val="002417E4"/>
    <w:rsid w:val="00241AAA"/>
    <w:rsid w:val="00242715"/>
    <w:rsid w:val="00242D96"/>
    <w:rsid w:val="002433A8"/>
    <w:rsid w:val="00243BFF"/>
    <w:rsid w:val="00243EB1"/>
    <w:rsid w:val="00243EDF"/>
    <w:rsid w:val="00244259"/>
    <w:rsid w:val="00244A38"/>
    <w:rsid w:val="00244E0C"/>
    <w:rsid w:val="00245038"/>
    <w:rsid w:val="00245BA6"/>
    <w:rsid w:val="002467A9"/>
    <w:rsid w:val="00246A5E"/>
    <w:rsid w:val="00246C49"/>
    <w:rsid w:val="00246C9D"/>
    <w:rsid w:val="002476BC"/>
    <w:rsid w:val="00247BCC"/>
    <w:rsid w:val="0025010D"/>
    <w:rsid w:val="002502BE"/>
    <w:rsid w:val="00250414"/>
    <w:rsid w:val="0025093B"/>
    <w:rsid w:val="00250FE0"/>
    <w:rsid w:val="00251769"/>
    <w:rsid w:val="00251871"/>
    <w:rsid w:val="0025243B"/>
    <w:rsid w:val="002527FE"/>
    <w:rsid w:val="00252A12"/>
    <w:rsid w:val="00252EDA"/>
    <w:rsid w:val="00252F38"/>
    <w:rsid w:val="002532E9"/>
    <w:rsid w:val="00253538"/>
    <w:rsid w:val="002535A8"/>
    <w:rsid w:val="00253785"/>
    <w:rsid w:val="00253A1D"/>
    <w:rsid w:val="00253AC3"/>
    <w:rsid w:val="00253B39"/>
    <w:rsid w:val="00253C98"/>
    <w:rsid w:val="00253E7F"/>
    <w:rsid w:val="002542FF"/>
    <w:rsid w:val="00254721"/>
    <w:rsid w:val="00254C6B"/>
    <w:rsid w:val="00254E0B"/>
    <w:rsid w:val="0025500B"/>
    <w:rsid w:val="00255104"/>
    <w:rsid w:val="00255157"/>
    <w:rsid w:val="00255705"/>
    <w:rsid w:val="002560C8"/>
    <w:rsid w:val="002564B5"/>
    <w:rsid w:val="0025663F"/>
    <w:rsid w:val="00256669"/>
    <w:rsid w:val="0025695A"/>
    <w:rsid w:val="0025781B"/>
    <w:rsid w:val="00257B45"/>
    <w:rsid w:val="00257C4E"/>
    <w:rsid w:val="00257C81"/>
    <w:rsid w:val="00260633"/>
    <w:rsid w:val="002606EE"/>
    <w:rsid w:val="00260AD4"/>
    <w:rsid w:val="00260CF8"/>
    <w:rsid w:val="00260FF5"/>
    <w:rsid w:val="00261B45"/>
    <w:rsid w:val="00261B7D"/>
    <w:rsid w:val="00261C9C"/>
    <w:rsid w:val="00261E3D"/>
    <w:rsid w:val="00261E9C"/>
    <w:rsid w:val="00261EAB"/>
    <w:rsid w:val="0026211A"/>
    <w:rsid w:val="002621A8"/>
    <w:rsid w:val="002622AD"/>
    <w:rsid w:val="002622F3"/>
    <w:rsid w:val="00262B69"/>
    <w:rsid w:val="00262CE8"/>
    <w:rsid w:val="00263767"/>
    <w:rsid w:val="002637E3"/>
    <w:rsid w:val="0026395B"/>
    <w:rsid w:val="00263E9F"/>
    <w:rsid w:val="00263EEA"/>
    <w:rsid w:val="00263F0A"/>
    <w:rsid w:val="00264557"/>
    <w:rsid w:val="002645E5"/>
    <w:rsid w:val="00264D33"/>
    <w:rsid w:val="00264E41"/>
    <w:rsid w:val="00265336"/>
    <w:rsid w:val="00266756"/>
    <w:rsid w:val="00266BC7"/>
    <w:rsid w:val="00266F39"/>
    <w:rsid w:val="002672E1"/>
    <w:rsid w:val="00267790"/>
    <w:rsid w:val="00267B1B"/>
    <w:rsid w:val="002709EC"/>
    <w:rsid w:val="00270A14"/>
    <w:rsid w:val="00270B05"/>
    <w:rsid w:val="00270CCE"/>
    <w:rsid w:val="00271085"/>
    <w:rsid w:val="002718DE"/>
    <w:rsid w:val="0027252D"/>
    <w:rsid w:val="00272667"/>
    <w:rsid w:val="00272F5F"/>
    <w:rsid w:val="00273025"/>
    <w:rsid w:val="00273455"/>
    <w:rsid w:val="00273541"/>
    <w:rsid w:val="0027371C"/>
    <w:rsid w:val="00273A1A"/>
    <w:rsid w:val="002743E5"/>
    <w:rsid w:val="00274A9E"/>
    <w:rsid w:val="00274CCD"/>
    <w:rsid w:val="00274EE6"/>
    <w:rsid w:val="00275096"/>
    <w:rsid w:val="00275138"/>
    <w:rsid w:val="002752B3"/>
    <w:rsid w:val="0027567F"/>
    <w:rsid w:val="00276814"/>
    <w:rsid w:val="00276A19"/>
    <w:rsid w:val="00276DC2"/>
    <w:rsid w:val="0027750F"/>
    <w:rsid w:val="002777C7"/>
    <w:rsid w:val="002779B9"/>
    <w:rsid w:val="00277A89"/>
    <w:rsid w:val="00280284"/>
    <w:rsid w:val="00280297"/>
    <w:rsid w:val="00280409"/>
    <w:rsid w:val="00280855"/>
    <w:rsid w:val="00281891"/>
    <w:rsid w:val="00281A86"/>
    <w:rsid w:val="002831FE"/>
    <w:rsid w:val="00283BEB"/>
    <w:rsid w:val="00283F3E"/>
    <w:rsid w:val="00284295"/>
    <w:rsid w:val="00284E06"/>
    <w:rsid w:val="002852A2"/>
    <w:rsid w:val="00285522"/>
    <w:rsid w:val="00285A6F"/>
    <w:rsid w:val="00285DE9"/>
    <w:rsid w:val="00285F20"/>
    <w:rsid w:val="002860DC"/>
    <w:rsid w:val="0028684C"/>
    <w:rsid w:val="00286995"/>
    <w:rsid w:val="00286B89"/>
    <w:rsid w:val="00286E8E"/>
    <w:rsid w:val="00286FE6"/>
    <w:rsid w:val="002878E3"/>
    <w:rsid w:val="00287EAE"/>
    <w:rsid w:val="00290238"/>
    <w:rsid w:val="00290457"/>
    <w:rsid w:val="00290671"/>
    <w:rsid w:val="0029083E"/>
    <w:rsid w:val="00290B62"/>
    <w:rsid w:val="00290F6D"/>
    <w:rsid w:val="00291342"/>
    <w:rsid w:val="00291451"/>
    <w:rsid w:val="002918B2"/>
    <w:rsid w:val="002919F0"/>
    <w:rsid w:val="00291B9E"/>
    <w:rsid w:val="00291D54"/>
    <w:rsid w:val="00291F0B"/>
    <w:rsid w:val="002921C5"/>
    <w:rsid w:val="002923F9"/>
    <w:rsid w:val="00292407"/>
    <w:rsid w:val="00292547"/>
    <w:rsid w:val="002927AD"/>
    <w:rsid w:val="0029296E"/>
    <w:rsid w:val="00292A6C"/>
    <w:rsid w:val="00292A9C"/>
    <w:rsid w:val="00292F6C"/>
    <w:rsid w:val="00293DDF"/>
    <w:rsid w:val="002941F4"/>
    <w:rsid w:val="0029430C"/>
    <w:rsid w:val="00294336"/>
    <w:rsid w:val="0029434D"/>
    <w:rsid w:val="0029518F"/>
    <w:rsid w:val="002953FF"/>
    <w:rsid w:val="002955CB"/>
    <w:rsid w:val="00295939"/>
    <w:rsid w:val="00295A02"/>
    <w:rsid w:val="00295A9A"/>
    <w:rsid w:val="00295D7B"/>
    <w:rsid w:val="00296485"/>
    <w:rsid w:val="00296901"/>
    <w:rsid w:val="00296E83"/>
    <w:rsid w:val="0029717F"/>
    <w:rsid w:val="00297631"/>
    <w:rsid w:val="00297BEA"/>
    <w:rsid w:val="00297CFF"/>
    <w:rsid w:val="002A0051"/>
    <w:rsid w:val="002A0823"/>
    <w:rsid w:val="002A0E4F"/>
    <w:rsid w:val="002A0F24"/>
    <w:rsid w:val="002A131D"/>
    <w:rsid w:val="002A14F6"/>
    <w:rsid w:val="002A1E72"/>
    <w:rsid w:val="002A2054"/>
    <w:rsid w:val="002A2580"/>
    <w:rsid w:val="002A263B"/>
    <w:rsid w:val="002A273D"/>
    <w:rsid w:val="002A2A6F"/>
    <w:rsid w:val="002A2EB7"/>
    <w:rsid w:val="002A3139"/>
    <w:rsid w:val="002A3238"/>
    <w:rsid w:val="002A34E1"/>
    <w:rsid w:val="002A3641"/>
    <w:rsid w:val="002A3951"/>
    <w:rsid w:val="002A3D5D"/>
    <w:rsid w:val="002A3F22"/>
    <w:rsid w:val="002A4752"/>
    <w:rsid w:val="002A48D0"/>
    <w:rsid w:val="002A4D75"/>
    <w:rsid w:val="002A5BE2"/>
    <w:rsid w:val="002A693F"/>
    <w:rsid w:val="002A6B03"/>
    <w:rsid w:val="002A6DD5"/>
    <w:rsid w:val="002A7463"/>
    <w:rsid w:val="002A7A8C"/>
    <w:rsid w:val="002B040B"/>
    <w:rsid w:val="002B09C7"/>
    <w:rsid w:val="002B0A57"/>
    <w:rsid w:val="002B1819"/>
    <w:rsid w:val="002B23CE"/>
    <w:rsid w:val="002B2617"/>
    <w:rsid w:val="002B295A"/>
    <w:rsid w:val="002B3990"/>
    <w:rsid w:val="002B3E20"/>
    <w:rsid w:val="002B414A"/>
    <w:rsid w:val="002B42E3"/>
    <w:rsid w:val="002B46BD"/>
    <w:rsid w:val="002B4813"/>
    <w:rsid w:val="002B4957"/>
    <w:rsid w:val="002B4B9B"/>
    <w:rsid w:val="002B4D9D"/>
    <w:rsid w:val="002B4EB6"/>
    <w:rsid w:val="002B4EE7"/>
    <w:rsid w:val="002B4F14"/>
    <w:rsid w:val="002B599A"/>
    <w:rsid w:val="002B5C69"/>
    <w:rsid w:val="002B6100"/>
    <w:rsid w:val="002B6304"/>
    <w:rsid w:val="002B6405"/>
    <w:rsid w:val="002B6615"/>
    <w:rsid w:val="002B6917"/>
    <w:rsid w:val="002B695B"/>
    <w:rsid w:val="002B6A5D"/>
    <w:rsid w:val="002B6C1E"/>
    <w:rsid w:val="002B740B"/>
    <w:rsid w:val="002B7621"/>
    <w:rsid w:val="002B7D8A"/>
    <w:rsid w:val="002B7E68"/>
    <w:rsid w:val="002C058B"/>
    <w:rsid w:val="002C088A"/>
    <w:rsid w:val="002C0B7D"/>
    <w:rsid w:val="002C102E"/>
    <w:rsid w:val="002C113C"/>
    <w:rsid w:val="002C1624"/>
    <w:rsid w:val="002C19C8"/>
    <w:rsid w:val="002C1B9B"/>
    <w:rsid w:val="002C1C2F"/>
    <w:rsid w:val="002C2163"/>
    <w:rsid w:val="002C276A"/>
    <w:rsid w:val="002C2791"/>
    <w:rsid w:val="002C285C"/>
    <w:rsid w:val="002C2CC0"/>
    <w:rsid w:val="002C3529"/>
    <w:rsid w:val="002C3AE8"/>
    <w:rsid w:val="002C4028"/>
    <w:rsid w:val="002C405E"/>
    <w:rsid w:val="002C4137"/>
    <w:rsid w:val="002C433F"/>
    <w:rsid w:val="002C4397"/>
    <w:rsid w:val="002C471B"/>
    <w:rsid w:val="002C4D69"/>
    <w:rsid w:val="002C5080"/>
    <w:rsid w:val="002C53DB"/>
    <w:rsid w:val="002C5447"/>
    <w:rsid w:val="002C5811"/>
    <w:rsid w:val="002C5D5F"/>
    <w:rsid w:val="002C5D9C"/>
    <w:rsid w:val="002C5EA3"/>
    <w:rsid w:val="002C606A"/>
    <w:rsid w:val="002C682E"/>
    <w:rsid w:val="002C6C7A"/>
    <w:rsid w:val="002C7633"/>
    <w:rsid w:val="002C76D4"/>
    <w:rsid w:val="002C7A95"/>
    <w:rsid w:val="002C7B47"/>
    <w:rsid w:val="002D0587"/>
    <w:rsid w:val="002D073C"/>
    <w:rsid w:val="002D09F9"/>
    <w:rsid w:val="002D0D33"/>
    <w:rsid w:val="002D0DEF"/>
    <w:rsid w:val="002D1080"/>
    <w:rsid w:val="002D1670"/>
    <w:rsid w:val="002D248C"/>
    <w:rsid w:val="002D2B4C"/>
    <w:rsid w:val="002D2D49"/>
    <w:rsid w:val="002D3262"/>
    <w:rsid w:val="002D3545"/>
    <w:rsid w:val="002D355C"/>
    <w:rsid w:val="002D35B4"/>
    <w:rsid w:val="002D3B5A"/>
    <w:rsid w:val="002D3EC6"/>
    <w:rsid w:val="002D466A"/>
    <w:rsid w:val="002D4CA3"/>
    <w:rsid w:val="002D5010"/>
    <w:rsid w:val="002D5293"/>
    <w:rsid w:val="002D565D"/>
    <w:rsid w:val="002D570F"/>
    <w:rsid w:val="002D5FB9"/>
    <w:rsid w:val="002D62C9"/>
    <w:rsid w:val="002D6644"/>
    <w:rsid w:val="002D6A5F"/>
    <w:rsid w:val="002D7E39"/>
    <w:rsid w:val="002E04C0"/>
    <w:rsid w:val="002E05F5"/>
    <w:rsid w:val="002E0A07"/>
    <w:rsid w:val="002E10FD"/>
    <w:rsid w:val="002E116A"/>
    <w:rsid w:val="002E153C"/>
    <w:rsid w:val="002E19B3"/>
    <w:rsid w:val="002E1AC6"/>
    <w:rsid w:val="002E22DA"/>
    <w:rsid w:val="002E2A96"/>
    <w:rsid w:val="002E2ABB"/>
    <w:rsid w:val="002E37F8"/>
    <w:rsid w:val="002E39F6"/>
    <w:rsid w:val="002E40C1"/>
    <w:rsid w:val="002E4369"/>
    <w:rsid w:val="002E496B"/>
    <w:rsid w:val="002E4BD3"/>
    <w:rsid w:val="002E500F"/>
    <w:rsid w:val="002E566E"/>
    <w:rsid w:val="002E60D0"/>
    <w:rsid w:val="002E7619"/>
    <w:rsid w:val="002E76C9"/>
    <w:rsid w:val="002E7744"/>
    <w:rsid w:val="002E796A"/>
    <w:rsid w:val="002E7BC5"/>
    <w:rsid w:val="002E7E26"/>
    <w:rsid w:val="002F00ED"/>
    <w:rsid w:val="002F00F8"/>
    <w:rsid w:val="002F0587"/>
    <w:rsid w:val="002F0FE8"/>
    <w:rsid w:val="002F11CC"/>
    <w:rsid w:val="002F1A6D"/>
    <w:rsid w:val="002F1DAE"/>
    <w:rsid w:val="002F20C5"/>
    <w:rsid w:val="002F24E1"/>
    <w:rsid w:val="002F279A"/>
    <w:rsid w:val="002F2887"/>
    <w:rsid w:val="002F34C4"/>
    <w:rsid w:val="002F37B6"/>
    <w:rsid w:val="002F3EB4"/>
    <w:rsid w:val="002F3F1D"/>
    <w:rsid w:val="002F3F70"/>
    <w:rsid w:val="002F4B78"/>
    <w:rsid w:val="002F5041"/>
    <w:rsid w:val="002F5847"/>
    <w:rsid w:val="002F5A19"/>
    <w:rsid w:val="002F6089"/>
    <w:rsid w:val="002F61A5"/>
    <w:rsid w:val="002F67D4"/>
    <w:rsid w:val="002F6A9C"/>
    <w:rsid w:val="002F6B57"/>
    <w:rsid w:val="002F6C79"/>
    <w:rsid w:val="002F714A"/>
    <w:rsid w:val="002F757E"/>
    <w:rsid w:val="002F7EAB"/>
    <w:rsid w:val="0030029B"/>
    <w:rsid w:val="003003F7"/>
    <w:rsid w:val="003007F7"/>
    <w:rsid w:val="00300E6C"/>
    <w:rsid w:val="003011F1"/>
    <w:rsid w:val="0030139D"/>
    <w:rsid w:val="003013CF"/>
    <w:rsid w:val="0030163C"/>
    <w:rsid w:val="003028E7"/>
    <w:rsid w:val="0030291C"/>
    <w:rsid w:val="00302A96"/>
    <w:rsid w:val="00302D3B"/>
    <w:rsid w:val="00303AFF"/>
    <w:rsid w:val="00303B7C"/>
    <w:rsid w:val="00303E8B"/>
    <w:rsid w:val="00303EB2"/>
    <w:rsid w:val="00303F67"/>
    <w:rsid w:val="00303FAD"/>
    <w:rsid w:val="00304A53"/>
    <w:rsid w:val="00304A89"/>
    <w:rsid w:val="00304B6E"/>
    <w:rsid w:val="00304F49"/>
    <w:rsid w:val="00305992"/>
    <w:rsid w:val="00305AEC"/>
    <w:rsid w:val="003062ED"/>
    <w:rsid w:val="00306769"/>
    <w:rsid w:val="00306BD7"/>
    <w:rsid w:val="00307F19"/>
    <w:rsid w:val="00310019"/>
    <w:rsid w:val="003102A7"/>
    <w:rsid w:val="00310BCC"/>
    <w:rsid w:val="00311112"/>
    <w:rsid w:val="003113A3"/>
    <w:rsid w:val="003114C3"/>
    <w:rsid w:val="003114DC"/>
    <w:rsid w:val="00311675"/>
    <w:rsid w:val="00311A2A"/>
    <w:rsid w:val="00311A8F"/>
    <w:rsid w:val="00312014"/>
    <w:rsid w:val="003121FC"/>
    <w:rsid w:val="0031258F"/>
    <w:rsid w:val="003125B3"/>
    <w:rsid w:val="00312927"/>
    <w:rsid w:val="003129BC"/>
    <w:rsid w:val="00312A81"/>
    <w:rsid w:val="00312C07"/>
    <w:rsid w:val="003133E5"/>
    <w:rsid w:val="00313943"/>
    <w:rsid w:val="00313DA8"/>
    <w:rsid w:val="00314123"/>
    <w:rsid w:val="00314784"/>
    <w:rsid w:val="00314844"/>
    <w:rsid w:val="003152A2"/>
    <w:rsid w:val="00315EF7"/>
    <w:rsid w:val="003161E0"/>
    <w:rsid w:val="00316256"/>
    <w:rsid w:val="00316FA0"/>
    <w:rsid w:val="003173EF"/>
    <w:rsid w:val="00317695"/>
    <w:rsid w:val="00317C68"/>
    <w:rsid w:val="00317FF4"/>
    <w:rsid w:val="00320065"/>
    <w:rsid w:val="00320459"/>
    <w:rsid w:val="00320587"/>
    <w:rsid w:val="00320845"/>
    <w:rsid w:val="003208A3"/>
    <w:rsid w:val="00320985"/>
    <w:rsid w:val="00320BCE"/>
    <w:rsid w:val="0032127C"/>
    <w:rsid w:val="003214B1"/>
    <w:rsid w:val="00321D3E"/>
    <w:rsid w:val="0032202E"/>
    <w:rsid w:val="0032206D"/>
    <w:rsid w:val="003222EF"/>
    <w:rsid w:val="003227D4"/>
    <w:rsid w:val="00322837"/>
    <w:rsid w:val="00322838"/>
    <w:rsid w:val="00322863"/>
    <w:rsid w:val="0032294A"/>
    <w:rsid w:val="00323A52"/>
    <w:rsid w:val="003240E7"/>
    <w:rsid w:val="00324185"/>
    <w:rsid w:val="003247D8"/>
    <w:rsid w:val="00324FE1"/>
    <w:rsid w:val="003254FA"/>
    <w:rsid w:val="0032554A"/>
    <w:rsid w:val="00325C96"/>
    <w:rsid w:val="00325CFF"/>
    <w:rsid w:val="00325D4E"/>
    <w:rsid w:val="00325E37"/>
    <w:rsid w:val="00325E8F"/>
    <w:rsid w:val="00325EFA"/>
    <w:rsid w:val="0032606D"/>
    <w:rsid w:val="003262F0"/>
    <w:rsid w:val="00326366"/>
    <w:rsid w:val="00326533"/>
    <w:rsid w:val="00326962"/>
    <w:rsid w:val="00326CB5"/>
    <w:rsid w:val="003270C2"/>
    <w:rsid w:val="003273BC"/>
    <w:rsid w:val="0032765F"/>
    <w:rsid w:val="0033050A"/>
    <w:rsid w:val="00330820"/>
    <w:rsid w:val="00331976"/>
    <w:rsid w:val="00331A17"/>
    <w:rsid w:val="00331B6F"/>
    <w:rsid w:val="00331CC1"/>
    <w:rsid w:val="00331CE3"/>
    <w:rsid w:val="00331E57"/>
    <w:rsid w:val="0033220C"/>
    <w:rsid w:val="00332C86"/>
    <w:rsid w:val="003333E1"/>
    <w:rsid w:val="00333A3B"/>
    <w:rsid w:val="003343F2"/>
    <w:rsid w:val="003344F9"/>
    <w:rsid w:val="00334CE5"/>
    <w:rsid w:val="00334FEC"/>
    <w:rsid w:val="00335558"/>
    <w:rsid w:val="00335629"/>
    <w:rsid w:val="003359EC"/>
    <w:rsid w:val="00335E9C"/>
    <w:rsid w:val="00335FEA"/>
    <w:rsid w:val="0033607F"/>
    <w:rsid w:val="00336B29"/>
    <w:rsid w:val="003407FC"/>
    <w:rsid w:val="003412DF"/>
    <w:rsid w:val="0034136F"/>
    <w:rsid w:val="003419D0"/>
    <w:rsid w:val="00342035"/>
    <w:rsid w:val="00342098"/>
    <w:rsid w:val="00342559"/>
    <w:rsid w:val="003428B7"/>
    <w:rsid w:val="00342A28"/>
    <w:rsid w:val="003430BF"/>
    <w:rsid w:val="0034366B"/>
    <w:rsid w:val="003449B4"/>
    <w:rsid w:val="00345033"/>
    <w:rsid w:val="003458F0"/>
    <w:rsid w:val="003459C2"/>
    <w:rsid w:val="00345B61"/>
    <w:rsid w:val="00345BD6"/>
    <w:rsid w:val="00345CC0"/>
    <w:rsid w:val="00345DA2"/>
    <w:rsid w:val="00345E6D"/>
    <w:rsid w:val="0034633B"/>
    <w:rsid w:val="00346436"/>
    <w:rsid w:val="00346989"/>
    <w:rsid w:val="00346AA7"/>
    <w:rsid w:val="00346D7F"/>
    <w:rsid w:val="00346FF0"/>
    <w:rsid w:val="00347568"/>
    <w:rsid w:val="00347959"/>
    <w:rsid w:val="003505D5"/>
    <w:rsid w:val="00351323"/>
    <w:rsid w:val="003513B2"/>
    <w:rsid w:val="003513C5"/>
    <w:rsid w:val="0035146C"/>
    <w:rsid w:val="00351875"/>
    <w:rsid w:val="00351CD7"/>
    <w:rsid w:val="003524D1"/>
    <w:rsid w:val="00352849"/>
    <w:rsid w:val="00352975"/>
    <w:rsid w:val="00352D83"/>
    <w:rsid w:val="00352E59"/>
    <w:rsid w:val="00353372"/>
    <w:rsid w:val="003533FB"/>
    <w:rsid w:val="00353624"/>
    <w:rsid w:val="00354512"/>
    <w:rsid w:val="00354745"/>
    <w:rsid w:val="00354820"/>
    <w:rsid w:val="00354960"/>
    <w:rsid w:val="00354E4E"/>
    <w:rsid w:val="003552BC"/>
    <w:rsid w:val="00355B64"/>
    <w:rsid w:val="00355E4F"/>
    <w:rsid w:val="00356159"/>
    <w:rsid w:val="003561E8"/>
    <w:rsid w:val="0035680D"/>
    <w:rsid w:val="00356C76"/>
    <w:rsid w:val="00357826"/>
    <w:rsid w:val="003578BD"/>
    <w:rsid w:val="00357BED"/>
    <w:rsid w:val="00357D21"/>
    <w:rsid w:val="00357E3F"/>
    <w:rsid w:val="003604F0"/>
    <w:rsid w:val="003607B6"/>
    <w:rsid w:val="003609DA"/>
    <w:rsid w:val="00360A34"/>
    <w:rsid w:val="003612FF"/>
    <w:rsid w:val="00361606"/>
    <w:rsid w:val="00361D34"/>
    <w:rsid w:val="00362906"/>
    <w:rsid w:val="00362C83"/>
    <w:rsid w:val="00362FCE"/>
    <w:rsid w:val="0036317A"/>
    <w:rsid w:val="003631D5"/>
    <w:rsid w:val="00363305"/>
    <w:rsid w:val="00363A3D"/>
    <w:rsid w:val="00363B64"/>
    <w:rsid w:val="00363BD7"/>
    <w:rsid w:val="00363C89"/>
    <w:rsid w:val="0036417E"/>
    <w:rsid w:val="00364CCE"/>
    <w:rsid w:val="0036508E"/>
    <w:rsid w:val="00365BB4"/>
    <w:rsid w:val="0036650F"/>
    <w:rsid w:val="0036663E"/>
    <w:rsid w:val="00367518"/>
    <w:rsid w:val="00367B0E"/>
    <w:rsid w:val="0037006F"/>
    <w:rsid w:val="003701AE"/>
    <w:rsid w:val="00370868"/>
    <w:rsid w:val="00370B98"/>
    <w:rsid w:val="00370BAF"/>
    <w:rsid w:val="00370C4F"/>
    <w:rsid w:val="00370E18"/>
    <w:rsid w:val="00371373"/>
    <w:rsid w:val="003715AA"/>
    <w:rsid w:val="003716BE"/>
    <w:rsid w:val="00371B8D"/>
    <w:rsid w:val="00373855"/>
    <w:rsid w:val="00373CCE"/>
    <w:rsid w:val="00373E91"/>
    <w:rsid w:val="00374117"/>
    <w:rsid w:val="00374D43"/>
    <w:rsid w:val="003753C7"/>
    <w:rsid w:val="003757E1"/>
    <w:rsid w:val="003759EF"/>
    <w:rsid w:val="0037615A"/>
    <w:rsid w:val="00376623"/>
    <w:rsid w:val="003766C2"/>
    <w:rsid w:val="00376915"/>
    <w:rsid w:val="0037694B"/>
    <w:rsid w:val="00376F47"/>
    <w:rsid w:val="00377F53"/>
    <w:rsid w:val="00380924"/>
    <w:rsid w:val="00380BFB"/>
    <w:rsid w:val="003818F4"/>
    <w:rsid w:val="00382107"/>
    <w:rsid w:val="00382998"/>
    <w:rsid w:val="00382AE7"/>
    <w:rsid w:val="00383599"/>
    <w:rsid w:val="00383915"/>
    <w:rsid w:val="00383AB1"/>
    <w:rsid w:val="003851A6"/>
    <w:rsid w:val="0038553E"/>
    <w:rsid w:val="0038571B"/>
    <w:rsid w:val="0038579D"/>
    <w:rsid w:val="0038587F"/>
    <w:rsid w:val="00385986"/>
    <w:rsid w:val="00385AAC"/>
    <w:rsid w:val="00385C2A"/>
    <w:rsid w:val="00385F6C"/>
    <w:rsid w:val="00386EEB"/>
    <w:rsid w:val="00386F7D"/>
    <w:rsid w:val="0038705C"/>
    <w:rsid w:val="00387491"/>
    <w:rsid w:val="003879E3"/>
    <w:rsid w:val="00390235"/>
    <w:rsid w:val="00390B0D"/>
    <w:rsid w:val="00391496"/>
    <w:rsid w:val="00391892"/>
    <w:rsid w:val="00392302"/>
    <w:rsid w:val="003927E9"/>
    <w:rsid w:val="00392E72"/>
    <w:rsid w:val="00393492"/>
    <w:rsid w:val="0039349B"/>
    <w:rsid w:val="003934FA"/>
    <w:rsid w:val="003936B5"/>
    <w:rsid w:val="00393977"/>
    <w:rsid w:val="00393C6F"/>
    <w:rsid w:val="003940D4"/>
    <w:rsid w:val="003948A2"/>
    <w:rsid w:val="00394AEB"/>
    <w:rsid w:val="00395760"/>
    <w:rsid w:val="003959E0"/>
    <w:rsid w:val="00395A72"/>
    <w:rsid w:val="00395C89"/>
    <w:rsid w:val="00395E5E"/>
    <w:rsid w:val="00395EF3"/>
    <w:rsid w:val="00396172"/>
    <w:rsid w:val="00396183"/>
    <w:rsid w:val="00396637"/>
    <w:rsid w:val="003966EF"/>
    <w:rsid w:val="00396735"/>
    <w:rsid w:val="00396983"/>
    <w:rsid w:val="003972BD"/>
    <w:rsid w:val="0039737E"/>
    <w:rsid w:val="003973D1"/>
    <w:rsid w:val="0039756F"/>
    <w:rsid w:val="003975CA"/>
    <w:rsid w:val="003976D3"/>
    <w:rsid w:val="003A0343"/>
    <w:rsid w:val="003A08A3"/>
    <w:rsid w:val="003A1751"/>
    <w:rsid w:val="003A1B80"/>
    <w:rsid w:val="003A1FBB"/>
    <w:rsid w:val="003A2B45"/>
    <w:rsid w:val="003A2E30"/>
    <w:rsid w:val="003A3C45"/>
    <w:rsid w:val="003A4212"/>
    <w:rsid w:val="003A432A"/>
    <w:rsid w:val="003A4448"/>
    <w:rsid w:val="003A46DB"/>
    <w:rsid w:val="003A48FA"/>
    <w:rsid w:val="003A4E61"/>
    <w:rsid w:val="003A50CC"/>
    <w:rsid w:val="003A57E3"/>
    <w:rsid w:val="003A596D"/>
    <w:rsid w:val="003A5BD0"/>
    <w:rsid w:val="003A6344"/>
    <w:rsid w:val="003A6C62"/>
    <w:rsid w:val="003A7547"/>
    <w:rsid w:val="003A769E"/>
    <w:rsid w:val="003A7776"/>
    <w:rsid w:val="003A77C3"/>
    <w:rsid w:val="003A7CA3"/>
    <w:rsid w:val="003A7D1D"/>
    <w:rsid w:val="003A7FA6"/>
    <w:rsid w:val="003B03D5"/>
    <w:rsid w:val="003B0446"/>
    <w:rsid w:val="003B0D90"/>
    <w:rsid w:val="003B0E1D"/>
    <w:rsid w:val="003B1274"/>
    <w:rsid w:val="003B1B6D"/>
    <w:rsid w:val="003B1D80"/>
    <w:rsid w:val="003B1E12"/>
    <w:rsid w:val="003B213C"/>
    <w:rsid w:val="003B2598"/>
    <w:rsid w:val="003B2724"/>
    <w:rsid w:val="003B278D"/>
    <w:rsid w:val="003B2B0E"/>
    <w:rsid w:val="003B2B47"/>
    <w:rsid w:val="003B2D89"/>
    <w:rsid w:val="003B3120"/>
    <w:rsid w:val="003B3F9C"/>
    <w:rsid w:val="003B421E"/>
    <w:rsid w:val="003B47E0"/>
    <w:rsid w:val="003B4B7B"/>
    <w:rsid w:val="003B4DB5"/>
    <w:rsid w:val="003B5311"/>
    <w:rsid w:val="003B563B"/>
    <w:rsid w:val="003B5F82"/>
    <w:rsid w:val="003B648B"/>
    <w:rsid w:val="003B665A"/>
    <w:rsid w:val="003B69ED"/>
    <w:rsid w:val="003B6A1A"/>
    <w:rsid w:val="003B7011"/>
    <w:rsid w:val="003B736C"/>
    <w:rsid w:val="003B740C"/>
    <w:rsid w:val="003C0066"/>
    <w:rsid w:val="003C0478"/>
    <w:rsid w:val="003C0573"/>
    <w:rsid w:val="003C0EE3"/>
    <w:rsid w:val="003C0F91"/>
    <w:rsid w:val="003C17EA"/>
    <w:rsid w:val="003C1A8D"/>
    <w:rsid w:val="003C1E75"/>
    <w:rsid w:val="003C2214"/>
    <w:rsid w:val="003C24CB"/>
    <w:rsid w:val="003C2776"/>
    <w:rsid w:val="003C2C9D"/>
    <w:rsid w:val="003C3709"/>
    <w:rsid w:val="003C3734"/>
    <w:rsid w:val="003C3DE7"/>
    <w:rsid w:val="003C40A3"/>
    <w:rsid w:val="003C42D9"/>
    <w:rsid w:val="003C4C26"/>
    <w:rsid w:val="003C4ED5"/>
    <w:rsid w:val="003C5444"/>
    <w:rsid w:val="003C5481"/>
    <w:rsid w:val="003C59BA"/>
    <w:rsid w:val="003C6245"/>
    <w:rsid w:val="003C6394"/>
    <w:rsid w:val="003C68F1"/>
    <w:rsid w:val="003C69C3"/>
    <w:rsid w:val="003C6A73"/>
    <w:rsid w:val="003C7584"/>
    <w:rsid w:val="003C7679"/>
    <w:rsid w:val="003C78DE"/>
    <w:rsid w:val="003C78E1"/>
    <w:rsid w:val="003C7906"/>
    <w:rsid w:val="003C7A8B"/>
    <w:rsid w:val="003D0443"/>
    <w:rsid w:val="003D05AC"/>
    <w:rsid w:val="003D06F8"/>
    <w:rsid w:val="003D0D29"/>
    <w:rsid w:val="003D0F6A"/>
    <w:rsid w:val="003D1523"/>
    <w:rsid w:val="003D160B"/>
    <w:rsid w:val="003D1656"/>
    <w:rsid w:val="003D19E3"/>
    <w:rsid w:val="003D2871"/>
    <w:rsid w:val="003D3198"/>
    <w:rsid w:val="003D339D"/>
    <w:rsid w:val="003D33E9"/>
    <w:rsid w:val="003D34DB"/>
    <w:rsid w:val="003D3EE9"/>
    <w:rsid w:val="003D4C43"/>
    <w:rsid w:val="003D54AB"/>
    <w:rsid w:val="003D5A00"/>
    <w:rsid w:val="003D5A41"/>
    <w:rsid w:val="003D6521"/>
    <w:rsid w:val="003D6610"/>
    <w:rsid w:val="003D664F"/>
    <w:rsid w:val="003D6804"/>
    <w:rsid w:val="003D6DF3"/>
    <w:rsid w:val="003D7288"/>
    <w:rsid w:val="003D753E"/>
    <w:rsid w:val="003D76CB"/>
    <w:rsid w:val="003D7AB8"/>
    <w:rsid w:val="003D7AEB"/>
    <w:rsid w:val="003E018D"/>
    <w:rsid w:val="003E0314"/>
    <w:rsid w:val="003E045A"/>
    <w:rsid w:val="003E072B"/>
    <w:rsid w:val="003E0747"/>
    <w:rsid w:val="003E07E9"/>
    <w:rsid w:val="003E0B33"/>
    <w:rsid w:val="003E0ED9"/>
    <w:rsid w:val="003E11CB"/>
    <w:rsid w:val="003E1256"/>
    <w:rsid w:val="003E24EC"/>
    <w:rsid w:val="003E3763"/>
    <w:rsid w:val="003E37AD"/>
    <w:rsid w:val="003E42B8"/>
    <w:rsid w:val="003E44A7"/>
    <w:rsid w:val="003E46E4"/>
    <w:rsid w:val="003E4869"/>
    <w:rsid w:val="003E49CD"/>
    <w:rsid w:val="003E5149"/>
    <w:rsid w:val="003E5B68"/>
    <w:rsid w:val="003E6C86"/>
    <w:rsid w:val="003E75F7"/>
    <w:rsid w:val="003E7BC4"/>
    <w:rsid w:val="003F0541"/>
    <w:rsid w:val="003F0654"/>
    <w:rsid w:val="003F099A"/>
    <w:rsid w:val="003F0A88"/>
    <w:rsid w:val="003F0C8B"/>
    <w:rsid w:val="003F0F1B"/>
    <w:rsid w:val="003F103A"/>
    <w:rsid w:val="003F1174"/>
    <w:rsid w:val="003F1332"/>
    <w:rsid w:val="003F14BF"/>
    <w:rsid w:val="003F1893"/>
    <w:rsid w:val="003F2856"/>
    <w:rsid w:val="003F286A"/>
    <w:rsid w:val="003F296D"/>
    <w:rsid w:val="003F29DA"/>
    <w:rsid w:val="003F2BDB"/>
    <w:rsid w:val="003F4236"/>
    <w:rsid w:val="003F4239"/>
    <w:rsid w:val="003F42C4"/>
    <w:rsid w:val="003F4A5A"/>
    <w:rsid w:val="003F5183"/>
    <w:rsid w:val="003F5BCC"/>
    <w:rsid w:val="003F6425"/>
    <w:rsid w:val="003F6AE9"/>
    <w:rsid w:val="003F6BD7"/>
    <w:rsid w:val="003F70FD"/>
    <w:rsid w:val="003F7634"/>
    <w:rsid w:val="003F77D2"/>
    <w:rsid w:val="003F7822"/>
    <w:rsid w:val="003F79CE"/>
    <w:rsid w:val="003F7D1B"/>
    <w:rsid w:val="003F7F59"/>
    <w:rsid w:val="003F7F5B"/>
    <w:rsid w:val="0040005B"/>
    <w:rsid w:val="004001D8"/>
    <w:rsid w:val="0040057E"/>
    <w:rsid w:val="00400F24"/>
    <w:rsid w:val="00400F4C"/>
    <w:rsid w:val="00401AF1"/>
    <w:rsid w:val="00402684"/>
    <w:rsid w:val="00403D46"/>
    <w:rsid w:val="00403F06"/>
    <w:rsid w:val="00404AF0"/>
    <w:rsid w:val="00404B42"/>
    <w:rsid w:val="00405708"/>
    <w:rsid w:val="0040596D"/>
    <w:rsid w:val="00405BD6"/>
    <w:rsid w:val="00405DE9"/>
    <w:rsid w:val="00406868"/>
    <w:rsid w:val="00406890"/>
    <w:rsid w:val="00406B54"/>
    <w:rsid w:val="00406C28"/>
    <w:rsid w:val="00406FA5"/>
    <w:rsid w:val="00407730"/>
    <w:rsid w:val="00407743"/>
    <w:rsid w:val="00407A5B"/>
    <w:rsid w:val="00410A84"/>
    <w:rsid w:val="00410CDB"/>
    <w:rsid w:val="00410FD3"/>
    <w:rsid w:val="004110E5"/>
    <w:rsid w:val="00411246"/>
    <w:rsid w:val="00411F99"/>
    <w:rsid w:val="0041214E"/>
    <w:rsid w:val="004137AE"/>
    <w:rsid w:val="0041393E"/>
    <w:rsid w:val="00414157"/>
    <w:rsid w:val="004144F9"/>
    <w:rsid w:val="00414803"/>
    <w:rsid w:val="0041483E"/>
    <w:rsid w:val="004148A1"/>
    <w:rsid w:val="00414CA7"/>
    <w:rsid w:val="00414D86"/>
    <w:rsid w:val="00415131"/>
    <w:rsid w:val="0041540C"/>
    <w:rsid w:val="00415BB6"/>
    <w:rsid w:val="00415D44"/>
    <w:rsid w:val="00416036"/>
    <w:rsid w:val="0041675D"/>
    <w:rsid w:val="00416844"/>
    <w:rsid w:val="00416993"/>
    <w:rsid w:val="00416BC5"/>
    <w:rsid w:val="00417402"/>
    <w:rsid w:val="00417522"/>
    <w:rsid w:val="004175F4"/>
    <w:rsid w:val="0041777A"/>
    <w:rsid w:val="0041792D"/>
    <w:rsid w:val="00417EB4"/>
    <w:rsid w:val="00417F03"/>
    <w:rsid w:val="00420081"/>
    <w:rsid w:val="004200B2"/>
    <w:rsid w:val="004200F7"/>
    <w:rsid w:val="004208DD"/>
    <w:rsid w:val="00420971"/>
    <w:rsid w:val="00420CB6"/>
    <w:rsid w:val="004210CE"/>
    <w:rsid w:val="00421C40"/>
    <w:rsid w:val="00421ED6"/>
    <w:rsid w:val="0042206C"/>
    <w:rsid w:val="004225BC"/>
    <w:rsid w:val="004237D1"/>
    <w:rsid w:val="00423A0C"/>
    <w:rsid w:val="00423A93"/>
    <w:rsid w:val="00423D2F"/>
    <w:rsid w:val="00423F17"/>
    <w:rsid w:val="00424292"/>
    <w:rsid w:val="00424B4A"/>
    <w:rsid w:val="00424F94"/>
    <w:rsid w:val="0042510D"/>
    <w:rsid w:val="004259A1"/>
    <w:rsid w:val="00425E16"/>
    <w:rsid w:val="00426042"/>
    <w:rsid w:val="00426401"/>
    <w:rsid w:val="0042667B"/>
    <w:rsid w:val="0042686A"/>
    <w:rsid w:val="00426942"/>
    <w:rsid w:val="00426B4B"/>
    <w:rsid w:val="00426FBC"/>
    <w:rsid w:val="00427B60"/>
    <w:rsid w:val="00427EBE"/>
    <w:rsid w:val="00430F94"/>
    <w:rsid w:val="0043110D"/>
    <w:rsid w:val="00431F99"/>
    <w:rsid w:val="00431FF1"/>
    <w:rsid w:val="00432686"/>
    <w:rsid w:val="00432A2D"/>
    <w:rsid w:val="00432AF2"/>
    <w:rsid w:val="0043327A"/>
    <w:rsid w:val="004334B5"/>
    <w:rsid w:val="00433B66"/>
    <w:rsid w:val="00433EC1"/>
    <w:rsid w:val="00433F25"/>
    <w:rsid w:val="004346C6"/>
    <w:rsid w:val="004353C9"/>
    <w:rsid w:val="00436595"/>
    <w:rsid w:val="00436874"/>
    <w:rsid w:val="004368D5"/>
    <w:rsid w:val="00436B61"/>
    <w:rsid w:val="00437205"/>
    <w:rsid w:val="004372E0"/>
    <w:rsid w:val="00437745"/>
    <w:rsid w:val="004378AD"/>
    <w:rsid w:val="00440AF5"/>
    <w:rsid w:val="00440E40"/>
    <w:rsid w:val="004411C3"/>
    <w:rsid w:val="00441510"/>
    <w:rsid w:val="00441670"/>
    <w:rsid w:val="004417A9"/>
    <w:rsid w:val="004418C1"/>
    <w:rsid w:val="00441D28"/>
    <w:rsid w:val="00442146"/>
    <w:rsid w:val="0044234B"/>
    <w:rsid w:val="004425F1"/>
    <w:rsid w:val="0044289C"/>
    <w:rsid w:val="00443157"/>
    <w:rsid w:val="00443514"/>
    <w:rsid w:val="0044477F"/>
    <w:rsid w:val="00444D67"/>
    <w:rsid w:val="004450D6"/>
    <w:rsid w:val="00445286"/>
    <w:rsid w:val="0044555A"/>
    <w:rsid w:val="00445595"/>
    <w:rsid w:val="004456CC"/>
    <w:rsid w:val="00445A2A"/>
    <w:rsid w:val="00445B1E"/>
    <w:rsid w:val="00446158"/>
    <w:rsid w:val="0044678C"/>
    <w:rsid w:val="0044766C"/>
    <w:rsid w:val="0044777C"/>
    <w:rsid w:val="00447998"/>
    <w:rsid w:val="00447DDC"/>
    <w:rsid w:val="00447FF7"/>
    <w:rsid w:val="004501FF"/>
    <w:rsid w:val="004503B2"/>
    <w:rsid w:val="004508A5"/>
    <w:rsid w:val="004508E7"/>
    <w:rsid w:val="004512C6"/>
    <w:rsid w:val="004515C4"/>
    <w:rsid w:val="004518FE"/>
    <w:rsid w:val="00452424"/>
    <w:rsid w:val="004533A9"/>
    <w:rsid w:val="00453668"/>
    <w:rsid w:val="00454141"/>
    <w:rsid w:val="00454D43"/>
    <w:rsid w:val="00455842"/>
    <w:rsid w:val="004558D5"/>
    <w:rsid w:val="00455C13"/>
    <w:rsid w:val="004561B5"/>
    <w:rsid w:val="00456651"/>
    <w:rsid w:val="00456914"/>
    <w:rsid w:val="004571EB"/>
    <w:rsid w:val="00457BA3"/>
    <w:rsid w:val="00457C20"/>
    <w:rsid w:val="0046013A"/>
    <w:rsid w:val="004605E9"/>
    <w:rsid w:val="00460728"/>
    <w:rsid w:val="00460C47"/>
    <w:rsid w:val="00460D5F"/>
    <w:rsid w:val="004610FB"/>
    <w:rsid w:val="00462639"/>
    <w:rsid w:val="00462C4A"/>
    <w:rsid w:val="004631F6"/>
    <w:rsid w:val="004634F5"/>
    <w:rsid w:val="00463F76"/>
    <w:rsid w:val="004642F2"/>
    <w:rsid w:val="004658F4"/>
    <w:rsid w:val="00465983"/>
    <w:rsid w:val="00465B41"/>
    <w:rsid w:val="00465C87"/>
    <w:rsid w:val="00465EDC"/>
    <w:rsid w:val="00465F33"/>
    <w:rsid w:val="00466D14"/>
    <w:rsid w:val="00466D57"/>
    <w:rsid w:val="00467254"/>
    <w:rsid w:val="004673B5"/>
    <w:rsid w:val="004679F4"/>
    <w:rsid w:val="00467EB2"/>
    <w:rsid w:val="00470411"/>
    <w:rsid w:val="00470617"/>
    <w:rsid w:val="00470A76"/>
    <w:rsid w:val="00470B47"/>
    <w:rsid w:val="0047106F"/>
    <w:rsid w:val="004710A0"/>
    <w:rsid w:val="00471436"/>
    <w:rsid w:val="0047191B"/>
    <w:rsid w:val="00471998"/>
    <w:rsid w:val="004720B9"/>
    <w:rsid w:val="00472C6E"/>
    <w:rsid w:val="00473022"/>
    <w:rsid w:val="004747F9"/>
    <w:rsid w:val="00474A8A"/>
    <w:rsid w:val="00474F56"/>
    <w:rsid w:val="00475F72"/>
    <w:rsid w:val="004763B7"/>
    <w:rsid w:val="00476756"/>
    <w:rsid w:val="00476AAD"/>
    <w:rsid w:val="00476E21"/>
    <w:rsid w:val="004775E9"/>
    <w:rsid w:val="00477682"/>
    <w:rsid w:val="004778C3"/>
    <w:rsid w:val="00477BAF"/>
    <w:rsid w:val="00480100"/>
    <w:rsid w:val="0048085F"/>
    <w:rsid w:val="00480C61"/>
    <w:rsid w:val="004814CD"/>
    <w:rsid w:val="004814FE"/>
    <w:rsid w:val="004815E1"/>
    <w:rsid w:val="0048184B"/>
    <w:rsid w:val="00481D54"/>
    <w:rsid w:val="004820EF"/>
    <w:rsid w:val="004824DA"/>
    <w:rsid w:val="004826CE"/>
    <w:rsid w:val="00482770"/>
    <w:rsid w:val="0048277C"/>
    <w:rsid w:val="0048319B"/>
    <w:rsid w:val="004833E2"/>
    <w:rsid w:val="00483A11"/>
    <w:rsid w:val="00483B9A"/>
    <w:rsid w:val="004840B3"/>
    <w:rsid w:val="004840D4"/>
    <w:rsid w:val="004841AF"/>
    <w:rsid w:val="004841F9"/>
    <w:rsid w:val="004843C3"/>
    <w:rsid w:val="0048448E"/>
    <w:rsid w:val="00484730"/>
    <w:rsid w:val="00484837"/>
    <w:rsid w:val="004850C0"/>
    <w:rsid w:val="0048623C"/>
    <w:rsid w:val="004866F2"/>
    <w:rsid w:val="0048670A"/>
    <w:rsid w:val="004868A9"/>
    <w:rsid w:val="00486A22"/>
    <w:rsid w:val="004877E9"/>
    <w:rsid w:val="00487E40"/>
    <w:rsid w:val="00491065"/>
    <w:rsid w:val="004910C0"/>
    <w:rsid w:val="00491DA0"/>
    <w:rsid w:val="00492284"/>
    <w:rsid w:val="00492741"/>
    <w:rsid w:val="00492798"/>
    <w:rsid w:val="00493022"/>
    <w:rsid w:val="00493130"/>
    <w:rsid w:val="0049313D"/>
    <w:rsid w:val="004934B0"/>
    <w:rsid w:val="0049371D"/>
    <w:rsid w:val="00493A01"/>
    <w:rsid w:val="00493BD0"/>
    <w:rsid w:val="00493C8F"/>
    <w:rsid w:val="00493CDB"/>
    <w:rsid w:val="00494280"/>
    <w:rsid w:val="00494594"/>
    <w:rsid w:val="0049475E"/>
    <w:rsid w:val="00494C6D"/>
    <w:rsid w:val="00495463"/>
    <w:rsid w:val="004956B9"/>
    <w:rsid w:val="00496090"/>
    <w:rsid w:val="004962E3"/>
    <w:rsid w:val="004967F9"/>
    <w:rsid w:val="00496C6E"/>
    <w:rsid w:val="00496ED8"/>
    <w:rsid w:val="0049757C"/>
    <w:rsid w:val="00497A25"/>
    <w:rsid w:val="00497A86"/>
    <w:rsid w:val="00497C54"/>
    <w:rsid w:val="004A0392"/>
    <w:rsid w:val="004A043B"/>
    <w:rsid w:val="004A0522"/>
    <w:rsid w:val="004A0866"/>
    <w:rsid w:val="004A0AAA"/>
    <w:rsid w:val="004A0F60"/>
    <w:rsid w:val="004A17E1"/>
    <w:rsid w:val="004A19B0"/>
    <w:rsid w:val="004A1C3B"/>
    <w:rsid w:val="004A2035"/>
    <w:rsid w:val="004A2170"/>
    <w:rsid w:val="004A2D3A"/>
    <w:rsid w:val="004A2FE9"/>
    <w:rsid w:val="004A315C"/>
    <w:rsid w:val="004A3966"/>
    <w:rsid w:val="004A3A57"/>
    <w:rsid w:val="004A3C1F"/>
    <w:rsid w:val="004A3FD3"/>
    <w:rsid w:val="004A4760"/>
    <w:rsid w:val="004A4A20"/>
    <w:rsid w:val="004A5031"/>
    <w:rsid w:val="004A58CF"/>
    <w:rsid w:val="004A6473"/>
    <w:rsid w:val="004A6607"/>
    <w:rsid w:val="004A6C87"/>
    <w:rsid w:val="004A7132"/>
    <w:rsid w:val="004A72DF"/>
    <w:rsid w:val="004A75B1"/>
    <w:rsid w:val="004A780A"/>
    <w:rsid w:val="004A79D9"/>
    <w:rsid w:val="004B01D0"/>
    <w:rsid w:val="004B023F"/>
    <w:rsid w:val="004B0AB4"/>
    <w:rsid w:val="004B1AE4"/>
    <w:rsid w:val="004B1E39"/>
    <w:rsid w:val="004B23EF"/>
    <w:rsid w:val="004B2434"/>
    <w:rsid w:val="004B2C95"/>
    <w:rsid w:val="004B3063"/>
    <w:rsid w:val="004B427E"/>
    <w:rsid w:val="004B547C"/>
    <w:rsid w:val="004B5C77"/>
    <w:rsid w:val="004B5D13"/>
    <w:rsid w:val="004B5DF9"/>
    <w:rsid w:val="004B718A"/>
    <w:rsid w:val="004B7297"/>
    <w:rsid w:val="004B7400"/>
    <w:rsid w:val="004B7890"/>
    <w:rsid w:val="004B7A23"/>
    <w:rsid w:val="004B7A86"/>
    <w:rsid w:val="004B7AC8"/>
    <w:rsid w:val="004B7DF2"/>
    <w:rsid w:val="004C0111"/>
    <w:rsid w:val="004C012F"/>
    <w:rsid w:val="004C0344"/>
    <w:rsid w:val="004C0C56"/>
    <w:rsid w:val="004C0D29"/>
    <w:rsid w:val="004C1FCE"/>
    <w:rsid w:val="004C2045"/>
    <w:rsid w:val="004C24B9"/>
    <w:rsid w:val="004C24C4"/>
    <w:rsid w:val="004C2850"/>
    <w:rsid w:val="004C2E6A"/>
    <w:rsid w:val="004C2FD6"/>
    <w:rsid w:val="004C319B"/>
    <w:rsid w:val="004C347C"/>
    <w:rsid w:val="004C3807"/>
    <w:rsid w:val="004C3822"/>
    <w:rsid w:val="004C3FCB"/>
    <w:rsid w:val="004C4FEF"/>
    <w:rsid w:val="004C51A0"/>
    <w:rsid w:val="004C5CEE"/>
    <w:rsid w:val="004C6598"/>
    <w:rsid w:val="004C6B8B"/>
    <w:rsid w:val="004C6F68"/>
    <w:rsid w:val="004C70AA"/>
    <w:rsid w:val="004C73B1"/>
    <w:rsid w:val="004C75D5"/>
    <w:rsid w:val="004C77DF"/>
    <w:rsid w:val="004C79B3"/>
    <w:rsid w:val="004C7FA3"/>
    <w:rsid w:val="004D0843"/>
    <w:rsid w:val="004D08F4"/>
    <w:rsid w:val="004D09C5"/>
    <w:rsid w:val="004D0E2C"/>
    <w:rsid w:val="004D183C"/>
    <w:rsid w:val="004D1DDD"/>
    <w:rsid w:val="004D2311"/>
    <w:rsid w:val="004D276C"/>
    <w:rsid w:val="004D3289"/>
    <w:rsid w:val="004D3A37"/>
    <w:rsid w:val="004D3E2E"/>
    <w:rsid w:val="004D3E59"/>
    <w:rsid w:val="004D3FE2"/>
    <w:rsid w:val="004D3FEA"/>
    <w:rsid w:val="004D444D"/>
    <w:rsid w:val="004D48D8"/>
    <w:rsid w:val="004D4C2F"/>
    <w:rsid w:val="004D4E3B"/>
    <w:rsid w:val="004D5499"/>
    <w:rsid w:val="004D587E"/>
    <w:rsid w:val="004D5C3D"/>
    <w:rsid w:val="004D5D5C"/>
    <w:rsid w:val="004D6710"/>
    <w:rsid w:val="004D6C6F"/>
    <w:rsid w:val="004D776E"/>
    <w:rsid w:val="004D77EA"/>
    <w:rsid w:val="004E0177"/>
    <w:rsid w:val="004E02E2"/>
    <w:rsid w:val="004E18EE"/>
    <w:rsid w:val="004E23A8"/>
    <w:rsid w:val="004E2744"/>
    <w:rsid w:val="004E286C"/>
    <w:rsid w:val="004E2F78"/>
    <w:rsid w:val="004E3501"/>
    <w:rsid w:val="004E38C4"/>
    <w:rsid w:val="004E3A27"/>
    <w:rsid w:val="004E3AF1"/>
    <w:rsid w:val="004E3B81"/>
    <w:rsid w:val="004E3DD1"/>
    <w:rsid w:val="004E4239"/>
    <w:rsid w:val="004E464C"/>
    <w:rsid w:val="004E4A97"/>
    <w:rsid w:val="004E4AE0"/>
    <w:rsid w:val="004E50C5"/>
    <w:rsid w:val="004E55E7"/>
    <w:rsid w:val="004E57B1"/>
    <w:rsid w:val="004E59DE"/>
    <w:rsid w:val="004E5B7C"/>
    <w:rsid w:val="004E5FDA"/>
    <w:rsid w:val="004E6056"/>
    <w:rsid w:val="004E66F3"/>
    <w:rsid w:val="004E6B41"/>
    <w:rsid w:val="004E70BF"/>
    <w:rsid w:val="004E70FF"/>
    <w:rsid w:val="004E7D45"/>
    <w:rsid w:val="004F0795"/>
    <w:rsid w:val="004F1BB3"/>
    <w:rsid w:val="004F1CB3"/>
    <w:rsid w:val="004F228C"/>
    <w:rsid w:val="004F2C50"/>
    <w:rsid w:val="004F2F12"/>
    <w:rsid w:val="004F312F"/>
    <w:rsid w:val="004F31D0"/>
    <w:rsid w:val="004F3397"/>
    <w:rsid w:val="004F34F1"/>
    <w:rsid w:val="004F364C"/>
    <w:rsid w:val="004F382B"/>
    <w:rsid w:val="004F3E9B"/>
    <w:rsid w:val="004F4203"/>
    <w:rsid w:val="004F47F8"/>
    <w:rsid w:val="004F4A55"/>
    <w:rsid w:val="004F4D8A"/>
    <w:rsid w:val="004F5350"/>
    <w:rsid w:val="004F535C"/>
    <w:rsid w:val="004F5617"/>
    <w:rsid w:val="004F56CF"/>
    <w:rsid w:val="004F5FFA"/>
    <w:rsid w:val="004F6CE1"/>
    <w:rsid w:val="004F7270"/>
    <w:rsid w:val="004F7289"/>
    <w:rsid w:val="004F72C5"/>
    <w:rsid w:val="004F7427"/>
    <w:rsid w:val="004F7430"/>
    <w:rsid w:val="004F7457"/>
    <w:rsid w:val="004F7CD9"/>
    <w:rsid w:val="0050002F"/>
    <w:rsid w:val="00500139"/>
    <w:rsid w:val="0050028E"/>
    <w:rsid w:val="00500298"/>
    <w:rsid w:val="00500415"/>
    <w:rsid w:val="00500479"/>
    <w:rsid w:val="00500616"/>
    <w:rsid w:val="00500A25"/>
    <w:rsid w:val="00500E0B"/>
    <w:rsid w:val="00501339"/>
    <w:rsid w:val="00501403"/>
    <w:rsid w:val="0050189C"/>
    <w:rsid w:val="005019E9"/>
    <w:rsid w:val="00501CA0"/>
    <w:rsid w:val="00501DF9"/>
    <w:rsid w:val="0050223C"/>
    <w:rsid w:val="00502248"/>
    <w:rsid w:val="00502E24"/>
    <w:rsid w:val="0050305D"/>
    <w:rsid w:val="00503517"/>
    <w:rsid w:val="00503AB8"/>
    <w:rsid w:val="00503CEC"/>
    <w:rsid w:val="005042E9"/>
    <w:rsid w:val="005045FF"/>
    <w:rsid w:val="00504C55"/>
    <w:rsid w:val="0050542D"/>
    <w:rsid w:val="005058B8"/>
    <w:rsid w:val="00505C12"/>
    <w:rsid w:val="00505DF9"/>
    <w:rsid w:val="00506196"/>
    <w:rsid w:val="00506210"/>
    <w:rsid w:val="005071EC"/>
    <w:rsid w:val="005075D9"/>
    <w:rsid w:val="00507BDE"/>
    <w:rsid w:val="00510A81"/>
    <w:rsid w:val="00510D2B"/>
    <w:rsid w:val="0051100A"/>
    <w:rsid w:val="005110A2"/>
    <w:rsid w:val="00511540"/>
    <w:rsid w:val="00511ADF"/>
    <w:rsid w:val="005125C4"/>
    <w:rsid w:val="005126AD"/>
    <w:rsid w:val="00512843"/>
    <w:rsid w:val="00512FD3"/>
    <w:rsid w:val="0051304B"/>
    <w:rsid w:val="005134AB"/>
    <w:rsid w:val="00513D04"/>
    <w:rsid w:val="00513FB1"/>
    <w:rsid w:val="0051427B"/>
    <w:rsid w:val="00514323"/>
    <w:rsid w:val="00514A57"/>
    <w:rsid w:val="005154AC"/>
    <w:rsid w:val="00515D77"/>
    <w:rsid w:val="00516017"/>
    <w:rsid w:val="00516170"/>
    <w:rsid w:val="005161E5"/>
    <w:rsid w:val="00516474"/>
    <w:rsid w:val="00516933"/>
    <w:rsid w:val="00516AC1"/>
    <w:rsid w:val="00516B1F"/>
    <w:rsid w:val="00516EC7"/>
    <w:rsid w:val="005170A2"/>
    <w:rsid w:val="005173B2"/>
    <w:rsid w:val="00517957"/>
    <w:rsid w:val="00520A9B"/>
    <w:rsid w:val="00520B8E"/>
    <w:rsid w:val="00520B91"/>
    <w:rsid w:val="00520CBE"/>
    <w:rsid w:val="00521494"/>
    <w:rsid w:val="005217B9"/>
    <w:rsid w:val="00521D13"/>
    <w:rsid w:val="00521F62"/>
    <w:rsid w:val="0052215E"/>
    <w:rsid w:val="005224E5"/>
    <w:rsid w:val="00522678"/>
    <w:rsid w:val="005232AD"/>
    <w:rsid w:val="00523DB3"/>
    <w:rsid w:val="005240FD"/>
    <w:rsid w:val="00524AE9"/>
    <w:rsid w:val="005256E1"/>
    <w:rsid w:val="00525F47"/>
    <w:rsid w:val="005264D5"/>
    <w:rsid w:val="005269D4"/>
    <w:rsid w:val="005271CB"/>
    <w:rsid w:val="0053038A"/>
    <w:rsid w:val="005307C9"/>
    <w:rsid w:val="0053090D"/>
    <w:rsid w:val="005314F2"/>
    <w:rsid w:val="0053182C"/>
    <w:rsid w:val="00531C64"/>
    <w:rsid w:val="00531CA5"/>
    <w:rsid w:val="00532322"/>
    <w:rsid w:val="00532E53"/>
    <w:rsid w:val="00532E5C"/>
    <w:rsid w:val="005338A3"/>
    <w:rsid w:val="00534890"/>
    <w:rsid w:val="005357AA"/>
    <w:rsid w:val="00535FC6"/>
    <w:rsid w:val="0053608D"/>
    <w:rsid w:val="00536565"/>
    <w:rsid w:val="00536690"/>
    <w:rsid w:val="005368FE"/>
    <w:rsid w:val="00536D82"/>
    <w:rsid w:val="005370A8"/>
    <w:rsid w:val="0053720F"/>
    <w:rsid w:val="00537D7C"/>
    <w:rsid w:val="005405F3"/>
    <w:rsid w:val="005408B5"/>
    <w:rsid w:val="00540A66"/>
    <w:rsid w:val="00540C2D"/>
    <w:rsid w:val="00540CD3"/>
    <w:rsid w:val="00540D7E"/>
    <w:rsid w:val="00540E6D"/>
    <w:rsid w:val="00540ECC"/>
    <w:rsid w:val="00540FA1"/>
    <w:rsid w:val="00541838"/>
    <w:rsid w:val="005418A7"/>
    <w:rsid w:val="005424A5"/>
    <w:rsid w:val="005430BA"/>
    <w:rsid w:val="00543145"/>
    <w:rsid w:val="0054350A"/>
    <w:rsid w:val="0054356B"/>
    <w:rsid w:val="005446EB"/>
    <w:rsid w:val="00544761"/>
    <w:rsid w:val="005447E3"/>
    <w:rsid w:val="00544C5C"/>
    <w:rsid w:val="00544C8E"/>
    <w:rsid w:val="00545185"/>
    <w:rsid w:val="00545325"/>
    <w:rsid w:val="00545392"/>
    <w:rsid w:val="005454A1"/>
    <w:rsid w:val="00545F4B"/>
    <w:rsid w:val="005463C8"/>
    <w:rsid w:val="0054681E"/>
    <w:rsid w:val="005470BD"/>
    <w:rsid w:val="00547421"/>
    <w:rsid w:val="00547B32"/>
    <w:rsid w:val="00547D05"/>
    <w:rsid w:val="00550506"/>
    <w:rsid w:val="00550641"/>
    <w:rsid w:val="0055096C"/>
    <w:rsid w:val="00550F0F"/>
    <w:rsid w:val="005513E0"/>
    <w:rsid w:val="00551571"/>
    <w:rsid w:val="00551651"/>
    <w:rsid w:val="00551653"/>
    <w:rsid w:val="005516A4"/>
    <w:rsid w:val="0055178D"/>
    <w:rsid w:val="00551A60"/>
    <w:rsid w:val="00552991"/>
    <w:rsid w:val="00552DE7"/>
    <w:rsid w:val="00553035"/>
    <w:rsid w:val="00553146"/>
    <w:rsid w:val="005535FE"/>
    <w:rsid w:val="005536E3"/>
    <w:rsid w:val="00553C62"/>
    <w:rsid w:val="00554516"/>
    <w:rsid w:val="005545F4"/>
    <w:rsid w:val="00554AD0"/>
    <w:rsid w:val="00554BA7"/>
    <w:rsid w:val="00554C76"/>
    <w:rsid w:val="00554C89"/>
    <w:rsid w:val="0055535B"/>
    <w:rsid w:val="005553C8"/>
    <w:rsid w:val="005555A2"/>
    <w:rsid w:val="0055569D"/>
    <w:rsid w:val="00555E64"/>
    <w:rsid w:val="005563EC"/>
    <w:rsid w:val="00556739"/>
    <w:rsid w:val="00556820"/>
    <w:rsid w:val="00557305"/>
    <w:rsid w:val="00557666"/>
    <w:rsid w:val="005579C8"/>
    <w:rsid w:val="00557D92"/>
    <w:rsid w:val="00557E01"/>
    <w:rsid w:val="00557E8D"/>
    <w:rsid w:val="005602CD"/>
    <w:rsid w:val="005602E5"/>
    <w:rsid w:val="0056047F"/>
    <w:rsid w:val="00560984"/>
    <w:rsid w:val="00561993"/>
    <w:rsid w:val="0056199C"/>
    <w:rsid w:val="005621FC"/>
    <w:rsid w:val="0056230D"/>
    <w:rsid w:val="005624F2"/>
    <w:rsid w:val="00563226"/>
    <w:rsid w:val="00563AAF"/>
    <w:rsid w:val="005642CF"/>
    <w:rsid w:val="005647B0"/>
    <w:rsid w:val="00564BAB"/>
    <w:rsid w:val="00564E49"/>
    <w:rsid w:val="0056512A"/>
    <w:rsid w:val="00565223"/>
    <w:rsid w:val="0056564F"/>
    <w:rsid w:val="00565BF8"/>
    <w:rsid w:val="00566697"/>
    <w:rsid w:val="00566DD8"/>
    <w:rsid w:val="00566E02"/>
    <w:rsid w:val="00567256"/>
    <w:rsid w:val="00567877"/>
    <w:rsid w:val="00567B61"/>
    <w:rsid w:val="005702B0"/>
    <w:rsid w:val="005702BE"/>
    <w:rsid w:val="00570B2D"/>
    <w:rsid w:val="00570B62"/>
    <w:rsid w:val="00571748"/>
    <w:rsid w:val="00571F2D"/>
    <w:rsid w:val="00571FDE"/>
    <w:rsid w:val="00572216"/>
    <w:rsid w:val="00572373"/>
    <w:rsid w:val="00572A41"/>
    <w:rsid w:val="00572D0B"/>
    <w:rsid w:val="00572D14"/>
    <w:rsid w:val="00572E10"/>
    <w:rsid w:val="00573651"/>
    <w:rsid w:val="005738C0"/>
    <w:rsid w:val="00573A2A"/>
    <w:rsid w:val="00574070"/>
    <w:rsid w:val="00574987"/>
    <w:rsid w:val="00574F04"/>
    <w:rsid w:val="00575673"/>
    <w:rsid w:val="00575E0D"/>
    <w:rsid w:val="00576794"/>
    <w:rsid w:val="005768A5"/>
    <w:rsid w:val="0057690B"/>
    <w:rsid w:val="00577285"/>
    <w:rsid w:val="00577AED"/>
    <w:rsid w:val="00577D2F"/>
    <w:rsid w:val="0058065B"/>
    <w:rsid w:val="0058131F"/>
    <w:rsid w:val="00581AA1"/>
    <w:rsid w:val="00581AEB"/>
    <w:rsid w:val="00581B19"/>
    <w:rsid w:val="00581B6D"/>
    <w:rsid w:val="00581BAD"/>
    <w:rsid w:val="00581F69"/>
    <w:rsid w:val="00582485"/>
    <w:rsid w:val="00582C68"/>
    <w:rsid w:val="00583399"/>
    <w:rsid w:val="0058350A"/>
    <w:rsid w:val="00583817"/>
    <w:rsid w:val="005838F8"/>
    <w:rsid w:val="00583D8A"/>
    <w:rsid w:val="00583DAE"/>
    <w:rsid w:val="005841D9"/>
    <w:rsid w:val="00584305"/>
    <w:rsid w:val="005844BC"/>
    <w:rsid w:val="005848A9"/>
    <w:rsid w:val="00584BFB"/>
    <w:rsid w:val="00584F30"/>
    <w:rsid w:val="00585842"/>
    <w:rsid w:val="0058585F"/>
    <w:rsid w:val="00585865"/>
    <w:rsid w:val="005858F5"/>
    <w:rsid w:val="00585DB1"/>
    <w:rsid w:val="00585DC0"/>
    <w:rsid w:val="0058604A"/>
    <w:rsid w:val="00586270"/>
    <w:rsid w:val="00586C44"/>
    <w:rsid w:val="00587009"/>
    <w:rsid w:val="00587212"/>
    <w:rsid w:val="005874D3"/>
    <w:rsid w:val="00587514"/>
    <w:rsid w:val="005875FE"/>
    <w:rsid w:val="00587D08"/>
    <w:rsid w:val="00587D92"/>
    <w:rsid w:val="00590192"/>
    <w:rsid w:val="00590641"/>
    <w:rsid w:val="00590791"/>
    <w:rsid w:val="005907D3"/>
    <w:rsid w:val="00590997"/>
    <w:rsid w:val="00590A06"/>
    <w:rsid w:val="00591579"/>
    <w:rsid w:val="005916FE"/>
    <w:rsid w:val="00592BB3"/>
    <w:rsid w:val="00592D76"/>
    <w:rsid w:val="005935E2"/>
    <w:rsid w:val="00593607"/>
    <w:rsid w:val="00593BF6"/>
    <w:rsid w:val="005943D1"/>
    <w:rsid w:val="005946D6"/>
    <w:rsid w:val="005947B5"/>
    <w:rsid w:val="0059492C"/>
    <w:rsid w:val="0059506A"/>
    <w:rsid w:val="0059519D"/>
    <w:rsid w:val="00595755"/>
    <w:rsid w:val="005958E9"/>
    <w:rsid w:val="00595B38"/>
    <w:rsid w:val="0059635D"/>
    <w:rsid w:val="005965A2"/>
    <w:rsid w:val="00596B00"/>
    <w:rsid w:val="00597F6C"/>
    <w:rsid w:val="005A023B"/>
    <w:rsid w:val="005A0868"/>
    <w:rsid w:val="005A09D7"/>
    <w:rsid w:val="005A1244"/>
    <w:rsid w:val="005A128E"/>
    <w:rsid w:val="005A247F"/>
    <w:rsid w:val="005A268B"/>
    <w:rsid w:val="005A2C23"/>
    <w:rsid w:val="005A3378"/>
    <w:rsid w:val="005A348F"/>
    <w:rsid w:val="005A3F24"/>
    <w:rsid w:val="005A40BF"/>
    <w:rsid w:val="005A4131"/>
    <w:rsid w:val="005A42C2"/>
    <w:rsid w:val="005A4BAC"/>
    <w:rsid w:val="005A4F61"/>
    <w:rsid w:val="005A5010"/>
    <w:rsid w:val="005A53D6"/>
    <w:rsid w:val="005A5436"/>
    <w:rsid w:val="005A588C"/>
    <w:rsid w:val="005A60F7"/>
    <w:rsid w:val="005A630B"/>
    <w:rsid w:val="005A63A3"/>
    <w:rsid w:val="005A693F"/>
    <w:rsid w:val="005A6969"/>
    <w:rsid w:val="005A6BA5"/>
    <w:rsid w:val="005A6D6E"/>
    <w:rsid w:val="005A7DCD"/>
    <w:rsid w:val="005A7E42"/>
    <w:rsid w:val="005A7E9E"/>
    <w:rsid w:val="005B01F0"/>
    <w:rsid w:val="005B0C69"/>
    <w:rsid w:val="005B0F03"/>
    <w:rsid w:val="005B15A8"/>
    <w:rsid w:val="005B21E2"/>
    <w:rsid w:val="005B24FD"/>
    <w:rsid w:val="005B26AA"/>
    <w:rsid w:val="005B2B99"/>
    <w:rsid w:val="005B49E0"/>
    <w:rsid w:val="005B4EAB"/>
    <w:rsid w:val="005B509E"/>
    <w:rsid w:val="005B50C8"/>
    <w:rsid w:val="005B515D"/>
    <w:rsid w:val="005B527D"/>
    <w:rsid w:val="005B52BD"/>
    <w:rsid w:val="005B580E"/>
    <w:rsid w:val="005B5933"/>
    <w:rsid w:val="005B62C0"/>
    <w:rsid w:val="005B63EB"/>
    <w:rsid w:val="005B6424"/>
    <w:rsid w:val="005B6621"/>
    <w:rsid w:val="005B70EE"/>
    <w:rsid w:val="005B715A"/>
    <w:rsid w:val="005B71C7"/>
    <w:rsid w:val="005B7529"/>
    <w:rsid w:val="005B776D"/>
    <w:rsid w:val="005B77EA"/>
    <w:rsid w:val="005C011A"/>
    <w:rsid w:val="005C03F5"/>
    <w:rsid w:val="005C096D"/>
    <w:rsid w:val="005C0AC6"/>
    <w:rsid w:val="005C0D08"/>
    <w:rsid w:val="005C2190"/>
    <w:rsid w:val="005C2364"/>
    <w:rsid w:val="005C27FE"/>
    <w:rsid w:val="005C3026"/>
    <w:rsid w:val="005C3159"/>
    <w:rsid w:val="005C3FC8"/>
    <w:rsid w:val="005C4057"/>
    <w:rsid w:val="005C4ECF"/>
    <w:rsid w:val="005C512F"/>
    <w:rsid w:val="005C5C19"/>
    <w:rsid w:val="005C5C67"/>
    <w:rsid w:val="005C5F17"/>
    <w:rsid w:val="005C61F0"/>
    <w:rsid w:val="005C641B"/>
    <w:rsid w:val="005C6BB5"/>
    <w:rsid w:val="005C6DA0"/>
    <w:rsid w:val="005C75F2"/>
    <w:rsid w:val="005C7732"/>
    <w:rsid w:val="005C7E3A"/>
    <w:rsid w:val="005C7FC7"/>
    <w:rsid w:val="005D059B"/>
    <w:rsid w:val="005D0772"/>
    <w:rsid w:val="005D07A5"/>
    <w:rsid w:val="005D0EAD"/>
    <w:rsid w:val="005D0ED4"/>
    <w:rsid w:val="005D1198"/>
    <w:rsid w:val="005D13A8"/>
    <w:rsid w:val="005D1F03"/>
    <w:rsid w:val="005D26AF"/>
    <w:rsid w:val="005D3431"/>
    <w:rsid w:val="005D35F2"/>
    <w:rsid w:val="005D3A4D"/>
    <w:rsid w:val="005D3ABD"/>
    <w:rsid w:val="005D3B81"/>
    <w:rsid w:val="005D3C88"/>
    <w:rsid w:val="005D3CB4"/>
    <w:rsid w:val="005D3FA4"/>
    <w:rsid w:val="005D43F1"/>
    <w:rsid w:val="005D46F6"/>
    <w:rsid w:val="005D71DB"/>
    <w:rsid w:val="005D7660"/>
    <w:rsid w:val="005D7954"/>
    <w:rsid w:val="005E0327"/>
    <w:rsid w:val="005E0594"/>
    <w:rsid w:val="005E05B1"/>
    <w:rsid w:val="005E13E9"/>
    <w:rsid w:val="005E18C2"/>
    <w:rsid w:val="005E1D6A"/>
    <w:rsid w:val="005E26A2"/>
    <w:rsid w:val="005E29AF"/>
    <w:rsid w:val="005E2A44"/>
    <w:rsid w:val="005E3667"/>
    <w:rsid w:val="005E40BC"/>
    <w:rsid w:val="005E43F6"/>
    <w:rsid w:val="005E507A"/>
    <w:rsid w:val="005E521A"/>
    <w:rsid w:val="005E54B1"/>
    <w:rsid w:val="005E5644"/>
    <w:rsid w:val="005E58FC"/>
    <w:rsid w:val="005E7099"/>
    <w:rsid w:val="005E70FA"/>
    <w:rsid w:val="005E7405"/>
    <w:rsid w:val="005E7D77"/>
    <w:rsid w:val="005F0FCA"/>
    <w:rsid w:val="005F1697"/>
    <w:rsid w:val="005F1760"/>
    <w:rsid w:val="005F1929"/>
    <w:rsid w:val="005F1DE2"/>
    <w:rsid w:val="005F21E3"/>
    <w:rsid w:val="005F238D"/>
    <w:rsid w:val="005F2C49"/>
    <w:rsid w:val="005F3710"/>
    <w:rsid w:val="005F4031"/>
    <w:rsid w:val="005F4A33"/>
    <w:rsid w:val="005F4B6E"/>
    <w:rsid w:val="005F4D3C"/>
    <w:rsid w:val="005F4DBA"/>
    <w:rsid w:val="005F4E59"/>
    <w:rsid w:val="005F537C"/>
    <w:rsid w:val="005F53EB"/>
    <w:rsid w:val="005F54DF"/>
    <w:rsid w:val="005F5B77"/>
    <w:rsid w:val="005F5DC3"/>
    <w:rsid w:val="005F6436"/>
    <w:rsid w:val="005F6765"/>
    <w:rsid w:val="005F6B30"/>
    <w:rsid w:val="005F7732"/>
    <w:rsid w:val="005F79EF"/>
    <w:rsid w:val="006008E4"/>
    <w:rsid w:val="00600E36"/>
    <w:rsid w:val="00600E65"/>
    <w:rsid w:val="00601243"/>
    <w:rsid w:val="0060130F"/>
    <w:rsid w:val="0060159C"/>
    <w:rsid w:val="00601A17"/>
    <w:rsid w:val="00601AC4"/>
    <w:rsid w:val="00601FFD"/>
    <w:rsid w:val="00602C2B"/>
    <w:rsid w:val="00602E24"/>
    <w:rsid w:val="0060346D"/>
    <w:rsid w:val="00603E51"/>
    <w:rsid w:val="00604877"/>
    <w:rsid w:val="00604943"/>
    <w:rsid w:val="00604C65"/>
    <w:rsid w:val="00604CDD"/>
    <w:rsid w:val="0060536B"/>
    <w:rsid w:val="006053DE"/>
    <w:rsid w:val="006055D1"/>
    <w:rsid w:val="006058EA"/>
    <w:rsid w:val="00605AA7"/>
    <w:rsid w:val="006060E7"/>
    <w:rsid w:val="006062DE"/>
    <w:rsid w:val="00606D3C"/>
    <w:rsid w:val="00606F2B"/>
    <w:rsid w:val="006072B7"/>
    <w:rsid w:val="00607616"/>
    <w:rsid w:val="00607D84"/>
    <w:rsid w:val="00607E51"/>
    <w:rsid w:val="00610581"/>
    <w:rsid w:val="00610C6D"/>
    <w:rsid w:val="00610D6A"/>
    <w:rsid w:val="00611600"/>
    <w:rsid w:val="00611BFD"/>
    <w:rsid w:val="00611ED1"/>
    <w:rsid w:val="00612462"/>
    <w:rsid w:val="0061263A"/>
    <w:rsid w:val="00612741"/>
    <w:rsid w:val="006127F0"/>
    <w:rsid w:val="00612C5E"/>
    <w:rsid w:val="00613082"/>
    <w:rsid w:val="00613266"/>
    <w:rsid w:val="006144AE"/>
    <w:rsid w:val="00614990"/>
    <w:rsid w:val="00614DC0"/>
    <w:rsid w:val="006153A5"/>
    <w:rsid w:val="0061540E"/>
    <w:rsid w:val="00615953"/>
    <w:rsid w:val="0061612E"/>
    <w:rsid w:val="006167F6"/>
    <w:rsid w:val="00617413"/>
    <w:rsid w:val="00617911"/>
    <w:rsid w:val="00617B9D"/>
    <w:rsid w:val="00620B12"/>
    <w:rsid w:val="00620CD9"/>
    <w:rsid w:val="006210B7"/>
    <w:rsid w:val="006215B5"/>
    <w:rsid w:val="006217E9"/>
    <w:rsid w:val="00621D46"/>
    <w:rsid w:val="0062237F"/>
    <w:rsid w:val="006225D2"/>
    <w:rsid w:val="006226D6"/>
    <w:rsid w:val="006229C3"/>
    <w:rsid w:val="00622B5D"/>
    <w:rsid w:val="006232EF"/>
    <w:rsid w:val="0062365C"/>
    <w:rsid w:val="0062376C"/>
    <w:rsid w:val="0062397D"/>
    <w:rsid w:val="00623CC0"/>
    <w:rsid w:val="00623CE7"/>
    <w:rsid w:val="0062461F"/>
    <w:rsid w:val="00624952"/>
    <w:rsid w:val="00624C50"/>
    <w:rsid w:val="00624D73"/>
    <w:rsid w:val="006254D7"/>
    <w:rsid w:val="00625A5E"/>
    <w:rsid w:val="00625B60"/>
    <w:rsid w:val="00625F25"/>
    <w:rsid w:val="0062610D"/>
    <w:rsid w:val="00626492"/>
    <w:rsid w:val="006265C6"/>
    <w:rsid w:val="00626AAB"/>
    <w:rsid w:val="00626C6B"/>
    <w:rsid w:val="006272B5"/>
    <w:rsid w:val="006273E6"/>
    <w:rsid w:val="0063001B"/>
    <w:rsid w:val="00630DA7"/>
    <w:rsid w:val="00630DAC"/>
    <w:rsid w:val="00630DED"/>
    <w:rsid w:val="0063129B"/>
    <w:rsid w:val="00631ABA"/>
    <w:rsid w:val="00631C27"/>
    <w:rsid w:val="00631D8D"/>
    <w:rsid w:val="0063212E"/>
    <w:rsid w:val="0063219A"/>
    <w:rsid w:val="006323AA"/>
    <w:rsid w:val="00632D24"/>
    <w:rsid w:val="00633E4D"/>
    <w:rsid w:val="00634366"/>
    <w:rsid w:val="00634B9F"/>
    <w:rsid w:val="00634EB6"/>
    <w:rsid w:val="00635088"/>
    <w:rsid w:val="00635202"/>
    <w:rsid w:val="00635FD2"/>
    <w:rsid w:val="0063663E"/>
    <w:rsid w:val="006375BA"/>
    <w:rsid w:val="006405FD"/>
    <w:rsid w:val="00640B7D"/>
    <w:rsid w:val="0064113F"/>
    <w:rsid w:val="006416D7"/>
    <w:rsid w:val="0064188E"/>
    <w:rsid w:val="0064198E"/>
    <w:rsid w:val="0064199B"/>
    <w:rsid w:val="00641A37"/>
    <w:rsid w:val="00641F28"/>
    <w:rsid w:val="0064263B"/>
    <w:rsid w:val="00642A79"/>
    <w:rsid w:val="00642FE1"/>
    <w:rsid w:val="00643711"/>
    <w:rsid w:val="00643799"/>
    <w:rsid w:val="00643D2B"/>
    <w:rsid w:val="00643DAE"/>
    <w:rsid w:val="00644471"/>
    <w:rsid w:val="00644D91"/>
    <w:rsid w:val="00644EE2"/>
    <w:rsid w:val="0064554B"/>
    <w:rsid w:val="00645867"/>
    <w:rsid w:val="00645C59"/>
    <w:rsid w:val="0064670C"/>
    <w:rsid w:val="00646A05"/>
    <w:rsid w:val="00646B91"/>
    <w:rsid w:val="0064791A"/>
    <w:rsid w:val="00647B41"/>
    <w:rsid w:val="00650064"/>
    <w:rsid w:val="0065028A"/>
    <w:rsid w:val="00650918"/>
    <w:rsid w:val="00650CDE"/>
    <w:rsid w:val="00650D6C"/>
    <w:rsid w:val="00650F2F"/>
    <w:rsid w:val="006510B4"/>
    <w:rsid w:val="00651221"/>
    <w:rsid w:val="00651534"/>
    <w:rsid w:val="00651B1A"/>
    <w:rsid w:val="00651DAD"/>
    <w:rsid w:val="00652438"/>
    <w:rsid w:val="006526CE"/>
    <w:rsid w:val="00652C46"/>
    <w:rsid w:val="00652E31"/>
    <w:rsid w:val="00653087"/>
    <w:rsid w:val="00653AEE"/>
    <w:rsid w:val="00653B0E"/>
    <w:rsid w:val="006542EE"/>
    <w:rsid w:val="00654827"/>
    <w:rsid w:val="00654883"/>
    <w:rsid w:val="00654A71"/>
    <w:rsid w:val="00654D17"/>
    <w:rsid w:val="00654D4B"/>
    <w:rsid w:val="00655884"/>
    <w:rsid w:val="00655E23"/>
    <w:rsid w:val="00655EB4"/>
    <w:rsid w:val="0065633B"/>
    <w:rsid w:val="006564A2"/>
    <w:rsid w:val="00656DFC"/>
    <w:rsid w:val="006570FD"/>
    <w:rsid w:val="006574A1"/>
    <w:rsid w:val="00657583"/>
    <w:rsid w:val="00657BBD"/>
    <w:rsid w:val="00657E14"/>
    <w:rsid w:val="00657FCB"/>
    <w:rsid w:val="006600DC"/>
    <w:rsid w:val="006604CF"/>
    <w:rsid w:val="0066087C"/>
    <w:rsid w:val="00660C5C"/>
    <w:rsid w:val="006611B4"/>
    <w:rsid w:val="00661736"/>
    <w:rsid w:val="0066175B"/>
    <w:rsid w:val="00661C1D"/>
    <w:rsid w:val="006621C9"/>
    <w:rsid w:val="00662391"/>
    <w:rsid w:val="006623F8"/>
    <w:rsid w:val="00662AD0"/>
    <w:rsid w:val="00662B15"/>
    <w:rsid w:val="0066342D"/>
    <w:rsid w:val="0066367D"/>
    <w:rsid w:val="00663A6C"/>
    <w:rsid w:val="00663B84"/>
    <w:rsid w:val="00663E56"/>
    <w:rsid w:val="00663F8B"/>
    <w:rsid w:val="00663FA3"/>
    <w:rsid w:val="00664278"/>
    <w:rsid w:val="006642CA"/>
    <w:rsid w:val="006642FE"/>
    <w:rsid w:val="00664A7D"/>
    <w:rsid w:val="00665052"/>
    <w:rsid w:val="0066533A"/>
    <w:rsid w:val="00665A1D"/>
    <w:rsid w:val="0066643A"/>
    <w:rsid w:val="00666D8B"/>
    <w:rsid w:val="0066759D"/>
    <w:rsid w:val="00667832"/>
    <w:rsid w:val="00667ADD"/>
    <w:rsid w:val="00667F6D"/>
    <w:rsid w:val="0067110A"/>
    <w:rsid w:val="006711DA"/>
    <w:rsid w:val="00671575"/>
    <w:rsid w:val="00671CF7"/>
    <w:rsid w:val="00671DFB"/>
    <w:rsid w:val="00671EB3"/>
    <w:rsid w:val="00672141"/>
    <w:rsid w:val="006729D9"/>
    <w:rsid w:val="00672AD6"/>
    <w:rsid w:val="00672B15"/>
    <w:rsid w:val="00672D56"/>
    <w:rsid w:val="006730A0"/>
    <w:rsid w:val="00673203"/>
    <w:rsid w:val="0067354A"/>
    <w:rsid w:val="00673752"/>
    <w:rsid w:val="00673D99"/>
    <w:rsid w:val="0067407C"/>
    <w:rsid w:val="006750CD"/>
    <w:rsid w:val="006752C4"/>
    <w:rsid w:val="006753AB"/>
    <w:rsid w:val="00675DD3"/>
    <w:rsid w:val="00676482"/>
    <w:rsid w:val="00676499"/>
    <w:rsid w:val="00676F8A"/>
    <w:rsid w:val="00677C29"/>
    <w:rsid w:val="00677D52"/>
    <w:rsid w:val="00680071"/>
    <w:rsid w:val="006801E0"/>
    <w:rsid w:val="00680B2D"/>
    <w:rsid w:val="0068219D"/>
    <w:rsid w:val="0068268F"/>
    <w:rsid w:val="0068326A"/>
    <w:rsid w:val="006832B9"/>
    <w:rsid w:val="006838DF"/>
    <w:rsid w:val="00683C86"/>
    <w:rsid w:val="00683CE3"/>
    <w:rsid w:val="00684AD5"/>
    <w:rsid w:val="006857BF"/>
    <w:rsid w:val="00685979"/>
    <w:rsid w:val="006861D1"/>
    <w:rsid w:val="00686394"/>
    <w:rsid w:val="00686563"/>
    <w:rsid w:val="0068678A"/>
    <w:rsid w:val="00686C0B"/>
    <w:rsid w:val="00690386"/>
    <w:rsid w:val="00690521"/>
    <w:rsid w:val="00690E69"/>
    <w:rsid w:val="006910C1"/>
    <w:rsid w:val="006910DD"/>
    <w:rsid w:val="006910E1"/>
    <w:rsid w:val="00691825"/>
    <w:rsid w:val="00691A1C"/>
    <w:rsid w:val="00691E06"/>
    <w:rsid w:val="00692552"/>
    <w:rsid w:val="006926C1"/>
    <w:rsid w:val="006926FE"/>
    <w:rsid w:val="00692736"/>
    <w:rsid w:val="00692C41"/>
    <w:rsid w:val="00692D30"/>
    <w:rsid w:val="00693259"/>
    <w:rsid w:val="00694306"/>
    <w:rsid w:val="00694646"/>
    <w:rsid w:val="00694C79"/>
    <w:rsid w:val="006953D8"/>
    <w:rsid w:val="006954DF"/>
    <w:rsid w:val="00695558"/>
    <w:rsid w:val="00695563"/>
    <w:rsid w:val="00695C7E"/>
    <w:rsid w:val="00695E02"/>
    <w:rsid w:val="00695F0E"/>
    <w:rsid w:val="00695FFB"/>
    <w:rsid w:val="006968C5"/>
    <w:rsid w:val="00696A78"/>
    <w:rsid w:val="00697FA6"/>
    <w:rsid w:val="006A05D8"/>
    <w:rsid w:val="006A114D"/>
    <w:rsid w:val="006A1258"/>
    <w:rsid w:val="006A144D"/>
    <w:rsid w:val="006A15AB"/>
    <w:rsid w:val="006A1AB8"/>
    <w:rsid w:val="006A1B84"/>
    <w:rsid w:val="006A1C79"/>
    <w:rsid w:val="006A1CBE"/>
    <w:rsid w:val="006A24F6"/>
    <w:rsid w:val="006A2755"/>
    <w:rsid w:val="006A27CF"/>
    <w:rsid w:val="006A2DFA"/>
    <w:rsid w:val="006A339C"/>
    <w:rsid w:val="006A3494"/>
    <w:rsid w:val="006A34D7"/>
    <w:rsid w:val="006A362A"/>
    <w:rsid w:val="006A4752"/>
    <w:rsid w:val="006A49C0"/>
    <w:rsid w:val="006A5883"/>
    <w:rsid w:val="006A5ADF"/>
    <w:rsid w:val="006A5B39"/>
    <w:rsid w:val="006A5D89"/>
    <w:rsid w:val="006A6129"/>
    <w:rsid w:val="006A64FA"/>
    <w:rsid w:val="006A675F"/>
    <w:rsid w:val="006A6D36"/>
    <w:rsid w:val="006A6D45"/>
    <w:rsid w:val="006A7027"/>
    <w:rsid w:val="006A70E7"/>
    <w:rsid w:val="006A710D"/>
    <w:rsid w:val="006B016B"/>
    <w:rsid w:val="006B0381"/>
    <w:rsid w:val="006B09F9"/>
    <w:rsid w:val="006B108E"/>
    <w:rsid w:val="006B16D1"/>
    <w:rsid w:val="006B2697"/>
    <w:rsid w:val="006B26E1"/>
    <w:rsid w:val="006B3124"/>
    <w:rsid w:val="006B33AE"/>
    <w:rsid w:val="006B3B1F"/>
    <w:rsid w:val="006B3D91"/>
    <w:rsid w:val="006B401A"/>
    <w:rsid w:val="006B41E3"/>
    <w:rsid w:val="006B46B9"/>
    <w:rsid w:val="006B4B2D"/>
    <w:rsid w:val="006B4EA9"/>
    <w:rsid w:val="006B5117"/>
    <w:rsid w:val="006B52E2"/>
    <w:rsid w:val="006B55C4"/>
    <w:rsid w:val="006B6780"/>
    <w:rsid w:val="006B67E4"/>
    <w:rsid w:val="006B6B5C"/>
    <w:rsid w:val="006B71A8"/>
    <w:rsid w:val="006B73E4"/>
    <w:rsid w:val="006B764E"/>
    <w:rsid w:val="006C0794"/>
    <w:rsid w:val="006C0FCB"/>
    <w:rsid w:val="006C10D5"/>
    <w:rsid w:val="006C1714"/>
    <w:rsid w:val="006C187F"/>
    <w:rsid w:val="006C1958"/>
    <w:rsid w:val="006C22A2"/>
    <w:rsid w:val="006C26A9"/>
    <w:rsid w:val="006C2849"/>
    <w:rsid w:val="006C2A58"/>
    <w:rsid w:val="006C36D7"/>
    <w:rsid w:val="006C377A"/>
    <w:rsid w:val="006C3BAE"/>
    <w:rsid w:val="006C40A9"/>
    <w:rsid w:val="006C4FE1"/>
    <w:rsid w:val="006C504B"/>
    <w:rsid w:val="006C5335"/>
    <w:rsid w:val="006C5356"/>
    <w:rsid w:val="006C5B86"/>
    <w:rsid w:val="006C65BE"/>
    <w:rsid w:val="006C68C4"/>
    <w:rsid w:val="006C785D"/>
    <w:rsid w:val="006C7948"/>
    <w:rsid w:val="006C7FE8"/>
    <w:rsid w:val="006D0152"/>
    <w:rsid w:val="006D033F"/>
    <w:rsid w:val="006D05DD"/>
    <w:rsid w:val="006D0A25"/>
    <w:rsid w:val="006D0CE5"/>
    <w:rsid w:val="006D13F5"/>
    <w:rsid w:val="006D16BE"/>
    <w:rsid w:val="006D1E6B"/>
    <w:rsid w:val="006D26BC"/>
    <w:rsid w:val="006D276E"/>
    <w:rsid w:val="006D2881"/>
    <w:rsid w:val="006D2974"/>
    <w:rsid w:val="006D2A2E"/>
    <w:rsid w:val="006D2C35"/>
    <w:rsid w:val="006D2D29"/>
    <w:rsid w:val="006D2F8B"/>
    <w:rsid w:val="006D3F17"/>
    <w:rsid w:val="006D4529"/>
    <w:rsid w:val="006D4D15"/>
    <w:rsid w:val="006D5077"/>
    <w:rsid w:val="006D51EF"/>
    <w:rsid w:val="006D5248"/>
    <w:rsid w:val="006D587B"/>
    <w:rsid w:val="006D5C76"/>
    <w:rsid w:val="006D5D30"/>
    <w:rsid w:val="006D5EAB"/>
    <w:rsid w:val="006D6FEF"/>
    <w:rsid w:val="006D704F"/>
    <w:rsid w:val="006D7424"/>
    <w:rsid w:val="006D78BB"/>
    <w:rsid w:val="006E004F"/>
    <w:rsid w:val="006E005B"/>
    <w:rsid w:val="006E0225"/>
    <w:rsid w:val="006E059E"/>
    <w:rsid w:val="006E05CD"/>
    <w:rsid w:val="006E0A1E"/>
    <w:rsid w:val="006E0C88"/>
    <w:rsid w:val="006E0F9A"/>
    <w:rsid w:val="006E12DB"/>
    <w:rsid w:val="006E1B13"/>
    <w:rsid w:val="006E1E1F"/>
    <w:rsid w:val="006E200B"/>
    <w:rsid w:val="006E2373"/>
    <w:rsid w:val="006E282F"/>
    <w:rsid w:val="006E3320"/>
    <w:rsid w:val="006E34E6"/>
    <w:rsid w:val="006E3A9B"/>
    <w:rsid w:val="006E449C"/>
    <w:rsid w:val="006E4939"/>
    <w:rsid w:val="006E5685"/>
    <w:rsid w:val="006E575B"/>
    <w:rsid w:val="006E5F7E"/>
    <w:rsid w:val="006E63DE"/>
    <w:rsid w:val="006E6515"/>
    <w:rsid w:val="006E6A12"/>
    <w:rsid w:val="006E6F38"/>
    <w:rsid w:val="006E71DE"/>
    <w:rsid w:val="006E72A3"/>
    <w:rsid w:val="006E739C"/>
    <w:rsid w:val="006F0D8C"/>
    <w:rsid w:val="006F0FC6"/>
    <w:rsid w:val="006F17C4"/>
    <w:rsid w:val="006F2187"/>
    <w:rsid w:val="006F228A"/>
    <w:rsid w:val="006F31CA"/>
    <w:rsid w:val="006F3281"/>
    <w:rsid w:val="006F32E7"/>
    <w:rsid w:val="006F35EC"/>
    <w:rsid w:val="006F373B"/>
    <w:rsid w:val="006F37B5"/>
    <w:rsid w:val="006F3C27"/>
    <w:rsid w:val="006F3DEC"/>
    <w:rsid w:val="006F402E"/>
    <w:rsid w:val="006F40A0"/>
    <w:rsid w:val="006F4187"/>
    <w:rsid w:val="006F4AF1"/>
    <w:rsid w:val="006F4B7D"/>
    <w:rsid w:val="006F4C02"/>
    <w:rsid w:val="006F4E2F"/>
    <w:rsid w:val="006F53BA"/>
    <w:rsid w:val="006F55F1"/>
    <w:rsid w:val="006F5931"/>
    <w:rsid w:val="006F5DB6"/>
    <w:rsid w:val="006F665B"/>
    <w:rsid w:val="006F744D"/>
    <w:rsid w:val="006F7611"/>
    <w:rsid w:val="006F7A25"/>
    <w:rsid w:val="007001D1"/>
    <w:rsid w:val="007005FC"/>
    <w:rsid w:val="00700785"/>
    <w:rsid w:val="00700C4C"/>
    <w:rsid w:val="00700DAE"/>
    <w:rsid w:val="00700FAA"/>
    <w:rsid w:val="007014EF"/>
    <w:rsid w:val="0070199E"/>
    <w:rsid w:val="00701EF0"/>
    <w:rsid w:val="00702106"/>
    <w:rsid w:val="00702A4C"/>
    <w:rsid w:val="00702B22"/>
    <w:rsid w:val="00702CF4"/>
    <w:rsid w:val="00702CF9"/>
    <w:rsid w:val="007035EF"/>
    <w:rsid w:val="00703618"/>
    <w:rsid w:val="007036D9"/>
    <w:rsid w:val="007037D5"/>
    <w:rsid w:val="00703AC9"/>
    <w:rsid w:val="00703B13"/>
    <w:rsid w:val="00703B6C"/>
    <w:rsid w:val="00703CFF"/>
    <w:rsid w:val="00704273"/>
    <w:rsid w:val="00704579"/>
    <w:rsid w:val="007048F9"/>
    <w:rsid w:val="00704D26"/>
    <w:rsid w:val="0070505B"/>
    <w:rsid w:val="0070513A"/>
    <w:rsid w:val="007051B8"/>
    <w:rsid w:val="0070586C"/>
    <w:rsid w:val="00707763"/>
    <w:rsid w:val="00707BA0"/>
    <w:rsid w:val="00710251"/>
    <w:rsid w:val="007102B6"/>
    <w:rsid w:val="007105B6"/>
    <w:rsid w:val="007107F1"/>
    <w:rsid w:val="00710F03"/>
    <w:rsid w:val="00710F5D"/>
    <w:rsid w:val="0071119B"/>
    <w:rsid w:val="0071128F"/>
    <w:rsid w:val="007114AA"/>
    <w:rsid w:val="0071297A"/>
    <w:rsid w:val="007132F7"/>
    <w:rsid w:val="00713B6C"/>
    <w:rsid w:val="007145CD"/>
    <w:rsid w:val="0071496D"/>
    <w:rsid w:val="00714AE6"/>
    <w:rsid w:val="00714D0F"/>
    <w:rsid w:val="00715346"/>
    <w:rsid w:val="00715557"/>
    <w:rsid w:val="00715736"/>
    <w:rsid w:val="00715A13"/>
    <w:rsid w:val="00715BAC"/>
    <w:rsid w:val="00715C18"/>
    <w:rsid w:val="00715E7F"/>
    <w:rsid w:val="007161D6"/>
    <w:rsid w:val="00716889"/>
    <w:rsid w:val="00716A52"/>
    <w:rsid w:val="00716DE9"/>
    <w:rsid w:val="00716EEC"/>
    <w:rsid w:val="00716F88"/>
    <w:rsid w:val="007176D8"/>
    <w:rsid w:val="00717727"/>
    <w:rsid w:val="00717989"/>
    <w:rsid w:val="007206A9"/>
    <w:rsid w:val="00720C21"/>
    <w:rsid w:val="007218A8"/>
    <w:rsid w:val="007219B1"/>
    <w:rsid w:val="00721C75"/>
    <w:rsid w:val="00722353"/>
    <w:rsid w:val="00722525"/>
    <w:rsid w:val="00722E1F"/>
    <w:rsid w:val="00723604"/>
    <w:rsid w:val="007236A8"/>
    <w:rsid w:val="00723881"/>
    <w:rsid w:val="00723A4F"/>
    <w:rsid w:val="00723BA0"/>
    <w:rsid w:val="00724605"/>
    <w:rsid w:val="00724924"/>
    <w:rsid w:val="00724AAD"/>
    <w:rsid w:val="0072510E"/>
    <w:rsid w:val="00725C34"/>
    <w:rsid w:val="0072674A"/>
    <w:rsid w:val="007270B7"/>
    <w:rsid w:val="00727928"/>
    <w:rsid w:val="00727EAB"/>
    <w:rsid w:val="007304F8"/>
    <w:rsid w:val="007306E2"/>
    <w:rsid w:val="00731D1F"/>
    <w:rsid w:val="00731D85"/>
    <w:rsid w:val="00731DB3"/>
    <w:rsid w:val="00732F01"/>
    <w:rsid w:val="007336D5"/>
    <w:rsid w:val="007336DF"/>
    <w:rsid w:val="00733747"/>
    <w:rsid w:val="00733D6F"/>
    <w:rsid w:val="00734277"/>
    <w:rsid w:val="00734446"/>
    <w:rsid w:val="007344C3"/>
    <w:rsid w:val="00734B94"/>
    <w:rsid w:val="0073579D"/>
    <w:rsid w:val="00735FA1"/>
    <w:rsid w:val="00736417"/>
    <w:rsid w:val="00736442"/>
    <w:rsid w:val="00736742"/>
    <w:rsid w:val="00736EAA"/>
    <w:rsid w:val="0073704E"/>
    <w:rsid w:val="00737836"/>
    <w:rsid w:val="00737CCA"/>
    <w:rsid w:val="00737D1F"/>
    <w:rsid w:val="00737D79"/>
    <w:rsid w:val="00737F53"/>
    <w:rsid w:val="007402DA"/>
    <w:rsid w:val="00741C38"/>
    <w:rsid w:val="00741CFD"/>
    <w:rsid w:val="00742112"/>
    <w:rsid w:val="007424C8"/>
    <w:rsid w:val="007424E4"/>
    <w:rsid w:val="007426FA"/>
    <w:rsid w:val="00743ACA"/>
    <w:rsid w:val="007440EF"/>
    <w:rsid w:val="007449EB"/>
    <w:rsid w:val="0074517C"/>
    <w:rsid w:val="00745185"/>
    <w:rsid w:val="00745F50"/>
    <w:rsid w:val="007464C5"/>
    <w:rsid w:val="00746957"/>
    <w:rsid w:val="007475E6"/>
    <w:rsid w:val="00747E30"/>
    <w:rsid w:val="00747EB1"/>
    <w:rsid w:val="00747EF5"/>
    <w:rsid w:val="00750197"/>
    <w:rsid w:val="00750446"/>
    <w:rsid w:val="00750797"/>
    <w:rsid w:val="00750A80"/>
    <w:rsid w:val="00750CEF"/>
    <w:rsid w:val="00750F0C"/>
    <w:rsid w:val="00751293"/>
    <w:rsid w:val="00751310"/>
    <w:rsid w:val="00751603"/>
    <w:rsid w:val="00751A68"/>
    <w:rsid w:val="00751AB7"/>
    <w:rsid w:val="00751BEE"/>
    <w:rsid w:val="00751D35"/>
    <w:rsid w:val="00751EB7"/>
    <w:rsid w:val="00752608"/>
    <w:rsid w:val="00752609"/>
    <w:rsid w:val="007531C2"/>
    <w:rsid w:val="00753244"/>
    <w:rsid w:val="00753392"/>
    <w:rsid w:val="00753767"/>
    <w:rsid w:val="00754538"/>
    <w:rsid w:val="00755235"/>
    <w:rsid w:val="0075525F"/>
    <w:rsid w:val="007556A3"/>
    <w:rsid w:val="007560A8"/>
    <w:rsid w:val="00756387"/>
    <w:rsid w:val="0075653B"/>
    <w:rsid w:val="00756557"/>
    <w:rsid w:val="00756701"/>
    <w:rsid w:val="00756792"/>
    <w:rsid w:val="00756B0B"/>
    <w:rsid w:val="00756E1A"/>
    <w:rsid w:val="00756E6E"/>
    <w:rsid w:val="00756FD7"/>
    <w:rsid w:val="0075731F"/>
    <w:rsid w:val="00757463"/>
    <w:rsid w:val="00757584"/>
    <w:rsid w:val="00757602"/>
    <w:rsid w:val="00757892"/>
    <w:rsid w:val="00757A8F"/>
    <w:rsid w:val="00757E57"/>
    <w:rsid w:val="00760857"/>
    <w:rsid w:val="00760947"/>
    <w:rsid w:val="00760F95"/>
    <w:rsid w:val="0076146E"/>
    <w:rsid w:val="00761B57"/>
    <w:rsid w:val="00761C09"/>
    <w:rsid w:val="00761CB4"/>
    <w:rsid w:val="00762949"/>
    <w:rsid w:val="00762C0C"/>
    <w:rsid w:val="0076334E"/>
    <w:rsid w:val="007637C1"/>
    <w:rsid w:val="00763847"/>
    <w:rsid w:val="00763E5E"/>
    <w:rsid w:val="007645BB"/>
    <w:rsid w:val="00764680"/>
    <w:rsid w:val="00764F70"/>
    <w:rsid w:val="007654BF"/>
    <w:rsid w:val="00765CBB"/>
    <w:rsid w:val="00766082"/>
    <w:rsid w:val="00766165"/>
    <w:rsid w:val="00766263"/>
    <w:rsid w:val="007666A2"/>
    <w:rsid w:val="00766901"/>
    <w:rsid w:val="00767238"/>
    <w:rsid w:val="00767283"/>
    <w:rsid w:val="007674E1"/>
    <w:rsid w:val="00767D08"/>
    <w:rsid w:val="007708EB"/>
    <w:rsid w:val="00770AD8"/>
    <w:rsid w:val="00770AFA"/>
    <w:rsid w:val="00770BC0"/>
    <w:rsid w:val="0077109B"/>
    <w:rsid w:val="0077135A"/>
    <w:rsid w:val="00771482"/>
    <w:rsid w:val="00771557"/>
    <w:rsid w:val="00771692"/>
    <w:rsid w:val="00771762"/>
    <w:rsid w:val="0077196A"/>
    <w:rsid w:val="00771E23"/>
    <w:rsid w:val="00771FBD"/>
    <w:rsid w:val="00772A32"/>
    <w:rsid w:val="0077325B"/>
    <w:rsid w:val="00773FB4"/>
    <w:rsid w:val="00774278"/>
    <w:rsid w:val="007748ED"/>
    <w:rsid w:val="0077491E"/>
    <w:rsid w:val="00774A45"/>
    <w:rsid w:val="00774B71"/>
    <w:rsid w:val="00774C68"/>
    <w:rsid w:val="007751CA"/>
    <w:rsid w:val="007752F0"/>
    <w:rsid w:val="0077571C"/>
    <w:rsid w:val="00775DF5"/>
    <w:rsid w:val="00776067"/>
    <w:rsid w:val="00776445"/>
    <w:rsid w:val="0077683E"/>
    <w:rsid w:val="00777494"/>
    <w:rsid w:val="00777655"/>
    <w:rsid w:val="00777694"/>
    <w:rsid w:val="0078034E"/>
    <w:rsid w:val="00780669"/>
    <w:rsid w:val="007808E0"/>
    <w:rsid w:val="00780CC6"/>
    <w:rsid w:val="0078124B"/>
    <w:rsid w:val="0078133A"/>
    <w:rsid w:val="00781876"/>
    <w:rsid w:val="00781ADC"/>
    <w:rsid w:val="00781E49"/>
    <w:rsid w:val="0078223E"/>
    <w:rsid w:val="00782581"/>
    <w:rsid w:val="00782F81"/>
    <w:rsid w:val="00783459"/>
    <w:rsid w:val="007839E1"/>
    <w:rsid w:val="00783A0A"/>
    <w:rsid w:val="0078414B"/>
    <w:rsid w:val="007843A2"/>
    <w:rsid w:val="007843DB"/>
    <w:rsid w:val="00784D0A"/>
    <w:rsid w:val="00784E36"/>
    <w:rsid w:val="0078552B"/>
    <w:rsid w:val="007855A8"/>
    <w:rsid w:val="0078565D"/>
    <w:rsid w:val="00785C16"/>
    <w:rsid w:val="007861C8"/>
    <w:rsid w:val="00786264"/>
    <w:rsid w:val="00786334"/>
    <w:rsid w:val="0078687B"/>
    <w:rsid w:val="00786C0F"/>
    <w:rsid w:val="0078737A"/>
    <w:rsid w:val="00791068"/>
    <w:rsid w:val="0079143F"/>
    <w:rsid w:val="007914CF"/>
    <w:rsid w:val="00791B85"/>
    <w:rsid w:val="00792481"/>
    <w:rsid w:val="007926C0"/>
    <w:rsid w:val="00792B0B"/>
    <w:rsid w:val="00793CC7"/>
    <w:rsid w:val="007945A1"/>
    <w:rsid w:val="007946BE"/>
    <w:rsid w:val="007946C2"/>
    <w:rsid w:val="00794750"/>
    <w:rsid w:val="00794772"/>
    <w:rsid w:val="00794885"/>
    <w:rsid w:val="00794F5A"/>
    <w:rsid w:val="00795F05"/>
    <w:rsid w:val="007961ED"/>
    <w:rsid w:val="00796391"/>
    <w:rsid w:val="007964EA"/>
    <w:rsid w:val="007969FE"/>
    <w:rsid w:val="00796BB8"/>
    <w:rsid w:val="0079712C"/>
    <w:rsid w:val="00797A77"/>
    <w:rsid w:val="00797DC0"/>
    <w:rsid w:val="007A0A68"/>
    <w:rsid w:val="007A0DF7"/>
    <w:rsid w:val="007A1713"/>
    <w:rsid w:val="007A1CF8"/>
    <w:rsid w:val="007A268A"/>
    <w:rsid w:val="007A2836"/>
    <w:rsid w:val="007A2C4C"/>
    <w:rsid w:val="007A3411"/>
    <w:rsid w:val="007A435B"/>
    <w:rsid w:val="007A43EC"/>
    <w:rsid w:val="007A493E"/>
    <w:rsid w:val="007A4F2A"/>
    <w:rsid w:val="007A5992"/>
    <w:rsid w:val="007A5A8C"/>
    <w:rsid w:val="007A5B2E"/>
    <w:rsid w:val="007A648D"/>
    <w:rsid w:val="007A654D"/>
    <w:rsid w:val="007A65C0"/>
    <w:rsid w:val="007A6AC1"/>
    <w:rsid w:val="007A6AF3"/>
    <w:rsid w:val="007A6D79"/>
    <w:rsid w:val="007A70C4"/>
    <w:rsid w:val="007A74A2"/>
    <w:rsid w:val="007A756D"/>
    <w:rsid w:val="007A75D3"/>
    <w:rsid w:val="007A7F2C"/>
    <w:rsid w:val="007B0540"/>
    <w:rsid w:val="007B0B2C"/>
    <w:rsid w:val="007B0B94"/>
    <w:rsid w:val="007B0F9B"/>
    <w:rsid w:val="007B19CA"/>
    <w:rsid w:val="007B1C7C"/>
    <w:rsid w:val="007B1CF4"/>
    <w:rsid w:val="007B1D5C"/>
    <w:rsid w:val="007B245B"/>
    <w:rsid w:val="007B29B2"/>
    <w:rsid w:val="007B30C4"/>
    <w:rsid w:val="007B345B"/>
    <w:rsid w:val="007B35EB"/>
    <w:rsid w:val="007B36EC"/>
    <w:rsid w:val="007B3AA1"/>
    <w:rsid w:val="007B3ACF"/>
    <w:rsid w:val="007B3B10"/>
    <w:rsid w:val="007B3E24"/>
    <w:rsid w:val="007B4140"/>
    <w:rsid w:val="007B492D"/>
    <w:rsid w:val="007B4BA3"/>
    <w:rsid w:val="007B500E"/>
    <w:rsid w:val="007B51C7"/>
    <w:rsid w:val="007B641A"/>
    <w:rsid w:val="007B6424"/>
    <w:rsid w:val="007B6C6B"/>
    <w:rsid w:val="007B7016"/>
    <w:rsid w:val="007B7289"/>
    <w:rsid w:val="007B73D9"/>
    <w:rsid w:val="007B76A2"/>
    <w:rsid w:val="007B789F"/>
    <w:rsid w:val="007B7ACE"/>
    <w:rsid w:val="007B7CB0"/>
    <w:rsid w:val="007C021F"/>
    <w:rsid w:val="007C0906"/>
    <w:rsid w:val="007C122F"/>
    <w:rsid w:val="007C15D5"/>
    <w:rsid w:val="007C1686"/>
    <w:rsid w:val="007C17EA"/>
    <w:rsid w:val="007C18A2"/>
    <w:rsid w:val="007C1D81"/>
    <w:rsid w:val="007C1E18"/>
    <w:rsid w:val="007C2392"/>
    <w:rsid w:val="007C279D"/>
    <w:rsid w:val="007C27C2"/>
    <w:rsid w:val="007C28B0"/>
    <w:rsid w:val="007C2A02"/>
    <w:rsid w:val="007C34EC"/>
    <w:rsid w:val="007C3A66"/>
    <w:rsid w:val="007C3D65"/>
    <w:rsid w:val="007C3E00"/>
    <w:rsid w:val="007C3FFD"/>
    <w:rsid w:val="007C4362"/>
    <w:rsid w:val="007C46F6"/>
    <w:rsid w:val="007C482D"/>
    <w:rsid w:val="007C4E04"/>
    <w:rsid w:val="007C52C7"/>
    <w:rsid w:val="007C56F3"/>
    <w:rsid w:val="007C58F5"/>
    <w:rsid w:val="007C5AAE"/>
    <w:rsid w:val="007C64F4"/>
    <w:rsid w:val="007C6ED6"/>
    <w:rsid w:val="007C7503"/>
    <w:rsid w:val="007C7A8C"/>
    <w:rsid w:val="007C7B32"/>
    <w:rsid w:val="007C7B37"/>
    <w:rsid w:val="007D0117"/>
    <w:rsid w:val="007D10A7"/>
    <w:rsid w:val="007D12CC"/>
    <w:rsid w:val="007D16FC"/>
    <w:rsid w:val="007D1E35"/>
    <w:rsid w:val="007D1E68"/>
    <w:rsid w:val="007D28A6"/>
    <w:rsid w:val="007D2EB4"/>
    <w:rsid w:val="007D3C45"/>
    <w:rsid w:val="007D3D4A"/>
    <w:rsid w:val="007D4970"/>
    <w:rsid w:val="007D56CE"/>
    <w:rsid w:val="007D5EFC"/>
    <w:rsid w:val="007D6051"/>
    <w:rsid w:val="007D6318"/>
    <w:rsid w:val="007D67E3"/>
    <w:rsid w:val="007D6A24"/>
    <w:rsid w:val="007D6F15"/>
    <w:rsid w:val="007D7041"/>
    <w:rsid w:val="007D7829"/>
    <w:rsid w:val="007D7A69"/>
    <w:rsid w:val="007E035C"/>
    <w:rsid w:val="007E0387"/>
    <w:rsid w:val="007E0BA7"/>
    <w:rsid w:val="007E0D19"/>
    <w:rsid w:val="007E0D3D"/>
    <w:rsid w:val="007E1585"/>
    <w:rsid w:val="007E19FC"/>
    <w:rsid w:val="007E20E1"/>
    <w:rsid w:val="007E2791"/>
    <w:rsid w:val="007E28EA"/>
    <w:rsid w:val="007E3006"/>
    <w:rsid w:val="007E302A"/>
    <w:rsid w:val="007E3907"/>
    <w:rsid w:val="007E3956"/>
    <w:rsid w:val="007E3B94"/>
    <w:rsid w:val="007E43CB"/>
    <w:rsid w:val="007E46A8"/>
    <w:rsid w:val="007E49A0"/>
    <w:rsid w:val="007E4C7E"/>
    <w:rsid w:val="007E4DD3"/>
    <w:rsid w:val="007E53E2"/>
    <w:rsid w:val="007E598A"/>
    <w:rsid w:val="007E5C84"/>
    <w:rsid w:val="007E625B"/>
    <w:rsid w:val="007E657D"/>
    <w:rsid w:val="007E6734"/>
    <w:rsid w:val="007E6892"/>
    <w:rsid w:val="007E69F9"/>
    <w:rsid w:val="007E6DA6"/>
    <w:rsid w:val="007E6FA3"/>
    <w:rsid w:val="007E7756"/>
    <w:rsid w:val="007E7A8B"/>
    <w:rsid w:val="007E7C81"/>
    <w:rsid w:val="007E7FD0"/>
    <w:rsid w:val="007F00AC"/>
    <w:rsid w:val="007F00D3"/>
    <w:rsid w:val="007F0DD4"/>
    <w:rsid w:val="007F10A5"/>
    <w:rsid w:val="007F1875"/>
    <w:rsid w:val="007F1C5D"/>
    <w:rsid w:val="007F25DE"/>
    <w:rsid w:val="007F3516"/>
    <w:rsid w:val="007F3F59"/>
    <w:rsid w:val="007F4385"/>
    <w:rsid w:val="007F4EBE"/>
    <w:rsid w:val="007F5136"/>
    <w:rsid w:val="007F530E"/>
    <w:rsid w:val="007F558F"/>
    <w:rsid w:val="007F563E"/>
    <w:rsid w:val="007F6504"/>
    <w:rsid w:val="007F684A"/>
    <w:rsid w:val="007F6A37"/>
    <w:rsid w:val="007F7F3C"/>
    <w:rsid w:val="00800724"/>
    <w:rsid w:val="008013E8"/>
    <w:rsid w:val="00801412"/>
    <w:rsid w:val="00801F2E"/>
    <w:rsid w:val="008020C4"/>
    <w:rsid w:val="0080229B"/>
    <w:rsid w:val="00802722"/>
    <w:rsid w:val="00803461"/>
    <w:rsid w:val="00803500"/>
    <w:rsid w:val="008040C2"/>
    <w:rsid w:val="00804482"/>
    <w:rsid w:val="00804D8F"/>
    <w:rsid w:val="0080518B"/>
    <w:rsid w:val="008053B9"/>
    <w:rsid w:val="008055C1"/>
    <w:rsid w:val="008056E2"/>
    <w:rsid w:val="00805E35"/>
    <w:rsid w:val="008063DC"/>
    <w:rsid w:val="008065D5"/>
    <w:rsid w:val="00806680"/>
    <w:rsid w:val="008066C5"/>
    <w:rsid w:val="008074B2"/>
    <w:rsid w:val="00807C7D"/>
    <w:rsid w:val="00810613"/>
    <w:rsid w:val="00810D17"/>
    <w:rsid w:val="00810F9B"/>
    <w:rsid w:val="008118FF"/>
    <w:rsid w:val="00811ED9"/>
    <w:rsid w:val="00812311"/>
    <w:rsid w:val="0081298D"/>
    <w:rsid w:val="00812AC0"/>
    <w:rsid w:val="00812B24"/>
    <w:rsid w:val="00812B4B"/>
    <w:rsid w:val="00812BF3"/>
    <w:rsid w:val="008130A0"/>
    <w:rsid w:val="00813260"/>
    <w:rsid w:val="0081336B"/>
    <w:rsid w:val="00813808"/>
    <w:rsid w:val="00813966"/>
    <w:rsid w:val="008139AA"/>
    <w:rsid w:val="00813D2E"/>
    <w:rsid w:val="00813E6B"/>
    <w:rsid w:val="008141E6"/>
    <w:rsid w:val="0081423D"/>
    <w:rsid w:val="00814303"/>
    <w:rsid w:val="00814328"/>
    <w:rsid w:val="00814694"/>
    <w:rsid w:val="00814904"/>
    <w:rsid w:val="0081491E"/>
    <w:rsid w:val="00815295"/>
    <w:rsid w:val="0081564D"/>
    <w:rsid w:val="00815C54"/>
    <w:rsid w:val="00815EA5"/>
    <w:rsid w:val="00816134"/>
    <w:rsid w:val="00816327"/>
    <w:rsid w:val="00816BC7"/>
    <w:rsid w:val="00816C4E"/>
    <w:rsid w:val="00816D6F"/>
    <w:rsid w:val="00817479"/>
    <w:rsid w:val="008200F3"/>
    <w:rsid w:val="00820841"/>
    <w:rsid w:val="0082104E"/>
    <w:rsid w:val="00821221"/>
    <w:rsid w:val="00821BD4"/>
    <w:rsid w:val="00821C24"/>
    <w:rsid w:val="00821D6D"/>
    <w:rsid w:val="0082213D"/>
    <w:rsid w:val="00823448"/>
    <w:rsid w:val="0082350A"/>
    <w:rsid w:val="00823512"/>
    <w:rsid w:val="00823DC0"/>
    <w:rsid w:val="00824087"/>
    <w:rsid w:val="00824332"/>
    <w:rsid w:val="008246EA"/>
    <w:rsid w:val="00824D2D"/>
    <w:rsid w:val="00824F07"/>
    <w:rsid w:val="00824F12"/>
    <w:rsid w:val="00824FDF"/>
    <w:rsid w:val="008255B3"/>
    <w:rsid w:val="00825D6F"/>
    <w:rsid w:val="00825E5A"/>
    <w:rsid w:val="00826615"/>
    <w:rsid w:val="00826F59"/>
    <w:rsid w:val="00827306"/>
    <w:rsid w:val="00827608"/>
    <w:rsid w:val="00827ADF"/>
    <w:rsid w:val="00827D86"/>
    <w:rsid w:val="00827DDE"/>
    <w:rsid w:val="008301E7"/>
    <w:rsid w:val="0083026E"/>
    <w:rsid w:val="00830580"/>
    <w:rsid w:val="00831636"/>
    <w:rsid w:val="0083172F"/>
    <w:rsid w:val="0083174A"/>
    <w:rsid w:val="00831C2C"/>
    <w:rsid w:val="00831CAF"/>
    <w:rsid w:val="008322F0"/>
    <w:rsid w:val="00832477"/>
    <w:rsid w:val="008334D3"/>
    <w:rsid w:val="00833A30"/>
    <w:rsid w:val="00833E82"/>
    <w:rsid w:val="00834306"/>
    <w:rsid w:val="008345D4"/>
    <w:rsid w:val="00834A47"/>
    <w:rsid w:val="00835021"/>
    <w:rsid w:val="0083517C"/>
    <w:rsid w:val="0083588D"/>
    <w:rsid w:val="00835A03"/>
    <w:rsid w:val="00835C52"/>
    <w:rsid w:val="008364E1"/>
    <w:rsid w:val="008365C1"/>
    <w:rsid w:val="00836CBA"/>
    <w:rsid w:val="00836DB3"/>
    <w:rsid w:val="00836E20"/>
    <w:rsid w:val="0083758D"/>
    <w:rsid w:val="008376F1"/>
    <w:rsid w:val="00837CFC"/>
    <w:rsid w:val="00840068"/>
    <w:rsid w:val="008402AE"/>
    <w:rsid w:val="008408D7"/>
    <w:rsid w:val="00841704"/>
    <w:rsid w:val="00842111"/>
    <w:rsid w:val="00842B06"/>
    <w:rsid w:val="00842F32"/>
    <w:rsid w:val="0084393F"/>
    <w:rsid w:val="00843C2B"/>
    <w:rsid w:val="00844072"/>
    <w:rsid w:val="00844354"/>
    <w:rsid w:val="008448FC"/>
    <w:rsid w:val="008449AE"/>
    <w:rsid w:val="008449DE"/>
    <w:rsid w:val="00844FD1"/>
    <w:rsid w:val="00845139"/>
    <w:rsid w:val="0084518F"/>
    <w:rsid w:val="00845652"/>
    <w:rsid w:val="00845E8D"/>
    <w:rsid w:val="0084609E"/>
    <w:rsid w:val="00846273"/>
    <w:rsid w:val="008463ED"/>
    <w:rsid w:val="008467A6"/>
    <w:rsid w:val="00846C81"/>
    <w:rsid w:val="0084739F"/>
    <w:rsid w:val="00847CFD"/>
    <w:rsid w:val="00847DBA"/>
    <w:rsid w:val="0085007A"/>
    <w:rsid w:val="00850178"/>
    <w:rsid w:val="00850B37"/>
    <w:rsid w:val="00850FC7"/>
    <w:rsid w:val="008514C9"/>
    <w:rsid w:val="00851542"/>
    <w:rsid w:val="00851791"/>
    <w:rsid w:val="008519BA"/>
    <w:rsid w:val="00851F28"/>
    <w:rsid w:val="00851F6F"/>
    <w:rsid w:val="0085256D"/>
    <w:rsid w:val="00852EF2"/>
    <w:rsid w:val="008534BC"/>
    <w:rsid w:val="00853719"/>
    <w:rsid w:val="00853831"/>
    <w:rsid w:val="00853B26"/>
    <w:rsid w:val="00854696"/>
    <w:rsid w:val="0085480C"/>
    <w:rsid w:val="00854C0E"/>
    <w:rsid w:val="00854D0B"/>
    <w:rsid w:val="008550AD"/>
    <w:rsid w:val="0085538D"/>
    <w:rsid w:val="0085577B"/>
    <w:rsid w:val="00855782"/>
    <w:rsid w:val="00855F8B"/>
    <w:rsid w:val="00856411"/>
    <w:rsid w:val="00856A46"/>
    <w:rsid w:val="00856C4A"/>
    <w:rsid w:val="00857118"/>
    <w:rsid w:val="00857D26"/>
    <w:rsid w:val="00857D5B"/>
    <w:rsid w:val="00860439"/>
    <w:rsid w:val="0086136B"/>
    <w:rsid w:val="0086138C"/>
    <w:rsid w:val="008618E4"/>
    <w:rsid w:val="00861A15"/>
    <w:rsid w:val="00862DC7"/>
    <w:rsid w:val="00862FCC"/>
    <w:rsid w:val="0086327C"/>
    <w:rsid w:val="00863955"/>
    <w:rsid w:val="00863A00"/>
    <w:rsid w:val="00863D77"/>
    <w:rsid w:val="00863DE4"/>
    <w:rsid w:val="00864296"/>
    <w:rsid w:val="0086451C"/>
    <w:rsid w:val="00864CD4"/>
    <w:rsid w:val="00864EB1"/>
    <w:rsid w:val="00865157"/>
    <w:rsid w:val="008652F1"/>
    <w:rsid w:val="00865A1F"/>
    <w:rsid w:val="00865E6C"/>
    <w:rsid w:val="00866004"/>
    <w:rsid w:val="008660BF"/>
    <w:rsid w:val="00866BB1"/>
    <w:rsid w:val="00866D75"/>
    <w:rsid w:val="00867895"/>
    <w:rsid w:val="00867A8F"/>
    <w:rsid w:val="00867CE6"/>
    <w:rsid w:val="00867DF1"/>
    <w:rsid w:val="00867E67"/>
    <w:rsid w:val="00870345"/>
    <w:rsid w:val="00870391"/>
    <w:rsid w:val="0087064B"/>
    <w:rsid w:val="008708DA"/>
    <w:rsid w:val="00870A4C"/>
    <w:rsid w:val="00870DFA"/>
    <w:rsid w:val="00870F8E"/>
    <w:rsid w:val="0087222C"/>
    <w:rsid w:val="00872233"/>
    <w:rsid w:val="00872745"/>
    <w:rsid w:val="00872BC8"/>
    <w:rsid w:val="00872CED"/>
    <w:rsid w:val="008730D5"/>
    <w:rsid w:val="008730E8"/>
    <w:rsid w:val="00873539"/>
    <w:rsid w:val="00873B79"/>
    <w:rsid w:val="00874110"/>
    <w:rsid w:val="00874C22"/>
    <w:rsid w:val="00874FAF"/>
    <w:rsid w:val="008750A5"/>
    <w:rsid w:val="00875436"/>
    <w:rsid w:val="008766D4"/>
    <w:rsid w:val="00876A1B"/>
    <w:rsid w:val="00876B4B"/>
    <w:rsid w:val="00877260"/>
    <w:rsid w:val="00877421"/>
    <w:rsid w:val="00877441"/>
    <w:rsid w:val="00880461"/>
    <w:rsid w:val="0088100F"/>
    <w:rsid w:val="008810CF"/>
    <w:rsid w:val="00881751"/>
    <w:rsid w:val="00881C60"/>
    <w:rsid w:val="0088238F"/>
    <w:rsid w:val="00882688"/>
    <w:rsid w:val="008826D6"/>
    <w:rsid w:val="00882CE5"/>
    <w:rsid w:val="00882DBD"/>
    <w:rsid w:val="00882DF1"/>
    <w:rsid w:val="00883319"/>
    <w:rsid w:val="00883C38"/>
    <w:rsid w:val="00883F76"/>
    <w:rsid w:val="008843BB"/>
    <w:rsid w:val="008844B4"/>
    <w:rsid w:val="008851EA"/>
    <w:rsid w:val="0088535D"/>
    <w:rsid w:val="00885D13"/>
    <w:rsid w:val="00885E22"/>
    <w:rsid w:val="00887181"/>
    <w:rsid w:val="008871E0"/>
    <w:rsid w:val="00887523"/>
    <w:rsid w:val="00887CD4"/>
    <w:rsid w:val="00887E6D"/>
    <w:rsid w:val="008902FB"/>
    <w:rsid w:val="0089058D"/>
    <w:rsid w:val="0089174B"/>
    <w:rsid w:val="00891908"/>
    <w:rsid w:val="0089198B"/>
    <w:rsid w:val="008923B0"/>
    <w:rsid w:val="00892869"/>
    <w:rsid w:val="00892E9B"/>
    <w:rsid w:val="00892FB4"/>
    <w:rsid w:val="0089330B"/>
    <w:rsid w:val="00894035"/>
    <w:rsid w:val="008943D8"/>
    <w:rsid w:val="0089476A"/>
    <w:rsid w:val="00894A64"/>
    <w:rsid w:val="00894E9A"/>
    <w:rsid w:val="008951A9"/>
    <w:rsid w:val="008952C7"/>
    <w:rsid w:val="008952D8"/>
    <w:rsid w:val="00895C8A"/>
    <w:rsid w:val="00895E40"/>
    <w:rsid w:val="00895E41"/>
    <w:rsid w:val="00896772"/>
    <w:rsid w:val="008971EF"/>
    <w:rsid w:val="0089743F"/>
    <w:rsid w:val="00897573"/>
    <w:rsid w:val="008A0013"/>
    <w:rsid w:val="008A05EE"/>
    <w:rsid w:val="008A084A"/>
    <w:rsid w:val="008A0A0D"/>
    <w:rsid w:val="008A11C3"/>
    <w:rsid w:val="008A135E"/>
    <w:rsid w:val="008A1939"/>
    <w:rsid w:val="008A199F"/>
    <w:rsid w:val="008A1E1A"/>
    <w:rsid w:val="008A1FAE"/>
    <w:rsid w:val="008A3AFE"/>
    <w:rsid w:val="008A41B3"/>
    <w:rsid w:val="008A41EF"/>
    <w:rsid w:val="008A43DE"/>
    <w:rsid w:val="008A4981"/>
    <w:rsid w:val="008A50FA"/>
    <w:rsid w:val="008A52C1"/>
    <w:rsid w:val="008A66C5"/>
    <w:rsid w:val="008A674E"/>
    <w:rsid w:val="008A682F"/>
    <w:rsid w:val="008A6929"/>
    <w:rsid w:val="008A71CC"/>
    <w:rsid w:val="008A7215"/>
    <w:rsid w:val="008A74E0"/>
    <w:rsid w:val="008A7895"/>
    <w:rsid w:val="008B032E"/>
    <w:rsid w:val="008B04E7"/>
    <w:rsid w:val="008B075A"/>
    <w:rsid w:val="008B1350"/>
    <w:rsid w:val="008B1381"/>
    <w:rsid w:val="008B16F1"/>
    <w:rsid w:val="008B1B64"/>
    <w:rsid w:val="008B1C42"/>
    <w:rsid w:val="008B2204"/>
    <w:rsid w:val="008B36CA"/>
    <w:rsid w:val="008B3749"/>
    <w:rsid w:val="008B39BF"/>
    <w:rsid w:val="008B3DA3"/>
    <w:rsid w:val="008B413A"/>
    <w:rsid w:val="008B4FE7"/>
    <w:rsid w:val="008B4FFE"/>
    <w:rsid w:val="008B542B"/>
    <w:rsid w:val="008B5A97"/>
    <w:rsid w:val="008B5D7E"/>
    <w:rsid w:val="008B5EF8"/>
    <w:rsid w:val="008B6463"/>
    <w:rsid w:val="008B6596"/>
    <w:rsid w:val="008B662C"/>
    <w:rsid w:val="008B7318"/>
    <w:rsid w:val="008B79C7"/>
    <w:rsid w:val="008B79E5"/>
    <w:rsid w:val="008B79E9"/>
    <w:rsid w:val="008B7CD5"/>
    <w:rsid w:val="008C0607"/>
    <w:rsid w:val="008C0790"/>
    <w:rsid w:val="008C0BEC"/>
    <w:rsid w:val="008C0DB0"/>
    <w:rsid w:val="008C0F31"/>
    <w:rsid w:val="008C1301"/>
    <w:rsid w:val="008C164C"/>
    <w:rsid w:val="008C18F1"/>
    <w:rsid w:val="008C1CDC"/>
    <w:rsid w:val="008C22D3"/>
    <w:rsid w:val="008C2BA2"/>
    <w:rsid w:val="008C3E04"/>
    <w:rsid w:val="008C42B7"/>
    <w:rsid w:val="008C45C3"/>
    <w:rsid w:val="008C464F"/>
    <w:rsid w:val="008C47AF"/>
    <w:rsid w:val="008C49F3"/>
    <w:rsid w:val="008C4A18"/>
    <w:rsid w:val="008C4F3C"/>
    <w:rsid w:val="008C5259"/>
    <w:rsid w:val="008C57BC"/>
    <w:rsid w:val="008C6000"/>
    <w:rsid w:val="008C63E3"/>
    <w:rsid w:val="008C66A8"/>
    <w:rsid w:val="008C69BD"/>
    <w:rsid w:val="008C6D57"/>
    <w:rsid w:val="008C7181"/>
    <w:rsid w:val="008C72AE"/>
    <w:rsid w:val="008C757F"/>
    <w:rsid w:val="008C7B03"/>
    <w:rsid w:val="008C7F53"/>
    <w:rsid w:val="008D04F8"/>
    <w:rsid w:val="008D1303"/>
    <w:rsid w:val="008D14AD"/>
    <w:rsid w:val="008D1882"/>
    <w:rsid w:val="008D1F5A"/>
    <w:rsid w:val="008D218E"/>
    <w:rsid w:val="008D21C8"/>
    <w:rsid w:val="008D2452"/>
    <w:rsid w:val="008D2D94"/>
    <w:rsid w:val="008D2E61"/>
    <w:rsid w:val="008D2FEB"/>
    <w:rsid w:val="008D3F87"/>
    <w:rsid w:val="008D4062"/>
    <w:rsid w:val="008D46B9"/>
    <w:rsid w:val="008D4AFA"/>
    <w:rsid w:val="008D4D20"/>
    <w:rsid w:val="008D4E0F"/>
    <w:rsid w:val="008D5164"/>
    <w:rsid w:val="008D596F"/>
    <w:rsid w:val="008D5BDB"/>
    <w:rsid w:val="008D67E1"/>
    <w:rsid w:val="008D6989"/>
    <w:rsid w:val="008D6E50"/>
    <w:rsid w:val="008D7621"/>
    <w:rsid w:val="008D7DD1"/>
    <w:rsid w:val="008E0A76"/>
    <w:rsid w:val="008E0FFB"/>
    <w:rsid w:val="008E1389"/>
    <w:rsid w:val="008E18E8"/>
    <w:rsid w:val="008E1A2A"/>
    <w:rsid w:val="008E1C77"/>
    <w:rsid w:val="008E1F24"/>
    <w:rsid w:val="008E217F"/>
    <w:rsid w:val="008E21B1"/>
    <w:rsid w:val="008E29F5"/>
    <w:rsid w:val="008E2AD3"/>
    <w:rsid w:val="008E2F4E"/>
    <w:rsid w:val="008E2FF1"/>
    <w:rsid w:val="008E3060"/>
    <w:rsid w:val="008E325E"/>
    <w:rsid w:val="008E3A22"/>
    <w:rsid w:val="008E3A60"/>
    <w:rsid w:val="008E3E47"/>
    <w:rsid w:val="008E456F"/>
    <w:rsid w:val="008E4E6D"/>
    <w:rsid w:val="008E5113"/>
    <w:rsid w:val="008E5494"/>
    <w:rsid w:val="008E5F8D"/>
    <w:rsid w:val="008E6097"/>
    <w:rsid w:val="008E61E1"/>
    <w:rsid w:val="008E6228"/>
    <w:rsid w:val="008E628E"/>
    <w:rsid w:val="008E6D47"/>
    <w:rsid w:val="008E6F08"/>
    <w:rsid w:val="008E7AE7"/>
    <w:rsid w:val="008E7CC3"/>
    <w:rsid w:val="008E7CF0"/>
    <w:rsid w:val="008E7D8A"/>
    <w:rsid w:val="008E7DCF"/>
    <w:rsid w:val="008E7EB8"/>
    <w:rsid w:val="008E7F88"/>
    <w:rsid w:val="008F0688"/>
    <w:rsid w:val="008F0ABE"/>
    <w:rsid w:val="008F0FD3"/>
    <w:rsid w:val="008F1208"/>
    <w:rsid w:val="008F1DAA"/>
    <w:rsid w:val="008F24C5"/>
    <w:rsid w:val="008F2528"/>
    <w:rsid w:val="008F2826"/>
    <w:rsid w:val="008F2B76"/>
    <w:rsid w:val="008F318A"/>
    <w:rsid w:val="008F3241"/>
    <w:rsid w:val="008F3725"/>
    <w:rsid w:val="008F3C18"/>
    <w:rsid w:val="008F3C66"/>
    <w:rsid w:val="008F44DE"/>
    <w:rsid w:val="008F4EB7"/>
    <w:rsid w:val="008F5449"/>
    <w:rsid w:val="008F5566"/>
    <w:rsid w:val="008F57BD"/>
    <w:rsid w:val="008F5B6C"/>
    <w:rsid w:val="008F63D7"/>
    <w:rsid w:val="008F6729"/>
    <w:rsid w:val="008F6934"/>
    <w:rsid w:val="008F6AB0"/>
    <w:rsid w:val="008F733D"/>
    <w:rsid w:val="008F7A71"/>
    <w:rsid w:val="008F7CB7"/>
    <w:rsid w:val="008F7F41"/>
    <w:rsid w:val="0090018E"/>
    <w:rsid w:val="0090075B"/>
    <w:rsid w:val="009010DC"/>
    <w:rsid w:val="00901291"/>
    <w:rsid w:val="009014E9"/>
    <w:rsid w:val="00901B3B"/>
    <w:rsid w:val="00901F66"/>
    <w:rsid w:val="00901F82"/>
    <w:rsid w:val="0090210F"/>
    <w:rsid w:val="00902274"/>
    <w:rsid w:val="00902343"/>
    <w:rsid w:val="00902579"/>
    <w:rsid w:val="00902E4A"/>
    <w:rsid w:val="0090350B"/>
    <w:rsid w:val="009036DA"/>
    <w:rsid w:val="0090381E"/>
    <w:rsid w:val="009038F7"/>
    <w:rsid w:val="00903CB8"/>
    <w:rsid w:val="00903F6D"/>
    <w:rsid w:val="00904661"/>
    <w:rsid w:val="0090474B"/>
    <w:rsid w:val="00904D4D"/>
    <w:rsid w:val="00904FDB"/>
    <w:rsid w:val="009052D6"/>
    <w:rsid w:val="009055F3"/>
    <w:rsid w:val="00905645"/>
    <w:rsid w:val="00905822"/>
    <w:rsid w:val="00905D05"/>
    <w:rsid w:val="00906279"/>
    <w:rsid w:val="009064FA"/>
    <w:rsid w:val="00906A80"/>
    <w:rsid w:val="00906CAC"/>
    <w:rsid w:val="0090727B"/>
    <w:rsid w:val="009075E9"/>
    <w:rsid w:val="00907C3C"/>
    <w:rsid w:val="0091012D"/>
    <w:rsid w:val="00910750"/>
    <w:rsid w:val="009109E0"/>
    <w:rsid w:val="00911447"/>
    <w:rsid w:val="00911D44"/>
    <w:rsid w:val="00911EBA"/>
    <w:rsid w:val="00912785"/>
    <w:rsid w:val="009129BC"/>
    <w:rsid w:val="00912EB4"/>
    <w:rsid w:val="00913C00"/>
    <w:rsid w:val="0091458D"/>
    <w:rsid w:val="00914AA5"/>
    <w:rsid w:val="00914B5F"/>
    <w:rsid w:val="00914D19"/>
    <w:rsid w:val="00915725"/>
    <w:rsid w:val="00915783"/>
    <w:rsid w:val="009159C1"/>
    <w:rsid w:val="00915ADE"/>
    <w:rsid w:val="00915BCA"/>
    <w:rsid w:val="00915C30"/>
    <w:rsid w:val="00915CE2"/>
    <w:rsid w:val="00915EE4"/>
    <w:rsid w:val="00916B34"/>
    <w:rsid w:val="00916C5B"/>
    <w:rsid w:val="00916F32"/>
    <w:rsid w:val="0091793A"/>
    <w:rsid w:val="00917CB8"/>
    <w:rsid w:val="00920261"/>
    <w:rsid w:val="00921115"/>
    <w:rsid w:val="00921437"/>
    <w:rsid w:val="009214A7"/>
    <w:rsid w:val="0092191B"/>
    <w:rsid w:val="00921AED"/>
    <w:rsid w:val="00921D7F"/>
    <w:rsid w:val="00921E32"/>
    <w:rsid w:val="00923107"/>
    <w:rsid w:val="0092364F"/>
    <w:rsid w:val="0092378A"/>
    <w:rsid w:val="00923F5A"/>
    <w:rsid w:val="00924428"/>
    <w:rsid w:val="00924DCB"/>
    <w:rsid w:val="00925BB5"/>
    <w:rsid w:val="00925F00"/>
    <w:rsid w:val="00926162"/>
    <w:rsid w:val="0092618F"/>
    <w:rsid w:val="009269A5"/>
    <w:rsid w:val="00926B5F"/>
    <w:rsid w:val="00927155"/>
    <w:rsid w:val="0092716F"/>
    <w:rsid w:val="00927221"/>
    <w:rsid w:val="0092786E"/>
    <w:rsid w:val="00927EDD"/>
    <w:rsid w:val="0093004E"/>
    <w:rsid w:val="009306CE"/>
    <w:rsid w:val="009309EE"/>
    <w:rsid w:val="00930DA4"/>
    <w:rsid w:val="00930E34"/>
    <w:rsid w:val="00932334"/>
    <w:rsid w:val="009328A8"/>
    <w:rsid w:val="00932DD8"/>
    <w:rsid w:val="00932F49"/>
    <w:rsid w:val="00934847"/>
    <w:rsid w:val="009355A6"/>
    <w:rsid w:val="0093596C"/>
    <w:rsid w:val="00935E51"/>
    <w:rsid w:val="00935F32"/>
    <w:rsid w:val="009369AF"/>
    <w:rsid w:val="00937655"/>
    <w:rsid w:val="00937AF2"/>
    <w:rsid w:val="00937BD2"/>
    <w:rsid w:val="00940134"/>
    <w:rsid w:val="00940BDA"/>
    <w:rsid w:val="00940E61"/>
    <w:rsid w:val="00940EE3"/>
    <w:rsid w:val="00941159"/>
    <w:rsid w:val="00942C28"/>
    <w:rsid w:val="00942FAD"/>
    <w:rsid w:val="009432DC"/>
    <w:rsid w:val="009434E1"/>
    <w:rsid w:val="00943509"/>
    <w:rsid w:val="00943773"/>
    <w:rsid w:val="00943B1F"/>
    <w:rsid w:val="00944602"/>
    <w:rsid w:val="00944790"/>
    <w:rsid w:val="00944A89"/>
    <w:rsid w:val="00944FFF"/>
    <w:rsid w:val="009454A3"/>
    <w:rsid w:val="00945642"/>
    <w:rsid w:val="00945747"/>
    <w:rsid w:val="00945965"/>
    <w:rsid w:val="00945A84"/>
    <w:rsid w:val="00945BCC"/>
    <w:rsid w:val="00945C9C"/>
    <w:rsid w:val="0094608C"/>
    <w:rsid w:val="00946571"/>
    <w:rsid w:val="00946572"/>
    <w:rsid w:val="009465E2"/>
    <w:rsid w:val="0094666E"/>
    <w:rsid w:val="00946952"/>
    <w:rsid w:val="00946C4B"/>
    <w:rsid w:val="009479CE"/>
    <w:rsid w:val="00947E30"/>
    <w:rsid w:val="00950648"/>
    <w:rsid w:val="009508F4"/>
    <w:rsid w:val="00951077"/>
    <w:rsid w:val="009515D7"/>
    <w:rsid w:val="00952A83"/>
    <w:rsid w:val="00952CA3"/>
    <w:rsid w:val="00952FA2"/>
    <w:rsid w:val="00953F5F"/>
    <w:rsid w:val="00954112"/>
    <w:rsid w:val="00954159"/>
    <w:rsid w:val="009545F4"/>
    <w:rsid w:val="0095467A"/>
    <w:rsid w:val="00954A9E"/>
    <w:rsid w:val="00954DC7"/>
    <w:rsid w:val="00955044"/>
    <w:rsid w:val="0095522F"/>
    <w:rsid w:val="0095535E"/>
    <w:rsid w:val="009553DC"/>
    <w:rsid w:val="0095611C"/>
    <w:rsid w:val="009563F6"/>
    <w:rsid w:val="009563FB"/>
    <w:rsid w:val="009565CA"/>
    <w:rsid w:val="009566B3"/>
    <w:rsid w:val="00956862"/>
    <w:rsid w:val="00956BF7"/>
    <w:rsid w:val="0095706A"/>
    <w:rsid w:val="0095766C"/>
    <w:rsid w:val="00957AD0"/>
    <w:rsid w:val="00957E21"/>
    <w:rsid w:val="00960141"/>
    <w:rsid w:val="00960225"/>
    <w:rsid w:val="009603C6"/>
    <w:rsid w:val="00960607"/>
    <w:rsid w:val="00960969"/>
    <w:rsid w:val="00961237"/>
    <w:rsid w:val="00961239"/>
    <w:rsid w:val="009612E0"/>
    <w:rsid w:val="009615C5"/>
    <w:rsid w:val="0096183A"/>
    <w:rsid w:val="00961B63"/>
    <w:rsid w:val="00962170"/>
    <w:rsid w:val="0096222F"/>
    <w:rsid w:val="0096315A"/>
    <w:rsid w:val="00963217"/>
    <w:rsid w:val="00963369"/>
    <w:rsid w:val="009634FC"/>
    <w:rsid w:val="009636E7"/>
    <w:rsid w:val="00964055"/>
    <w:rsid w:val="009640B7"/>
    <w:rsid w:val="009645C2"/>
    <w:rsid w:val="00964A73"/>
    <w:rsid w:val="00964E7D"/>
    <w:rsid w:val="00964ECE"/>
    <w:rsid w:val="00964FBB"/>
    <w:rsid w:val="0096539B"/>
    <w:rsid w:val="00965B49"/>
    <w:rsid w:val="00966BC6"/>
    <w:rsid w:val="00966C04"/>
    <w:rsid w:val="00966CCC"/>
    <w:rsid w:val="009671E6"/>
    <w:rsid w:val="00967619"/>
    <w:rsid w:val="0096765D"/>
    <w:rsid w:val="009677BD"/>
    <w:rsid w:val="00967B91"/>
    <w:rsid w:val="00967E38"/>
    <w:rsid w:val="00970660"/>
    <w:rsid w:val="00970D02"/>
    <w:rsid w:val="00971016"/>
    <w:rsid w:val="009712AC"/>
    <w:rsid w:val="009719EF"/>
    <w:rsid w:val="00971AE9"/>
    <w:rsid w:val="00971DE3"/>
    <w:rsid w:val="00971F15"/>
    <w:rsid w:val="00972231"/>
    <w:rsid w:val="009723DC"/>
    <w:rsid w:val="009725FD"/>
    <w:rsid w:val="00972AB2"/>
    <w:rsid w:val="00972F2A"/>
    <w:rsid w:val="00972F91"/>
    <w:rsid w:val="00973355"/>
    <w:rsid w:val="00973482"/>
    <w:rsid w:val="00973502"/>
    <w:rsid w:val="0097416C"/>
    <w:rsid w:val="0097430C"/>
    <w:rsid w:val="00974647"/>
    <w:rsid w:val="00974A05"/>
    <w:rsid w:val="00974C48"/>
    <w:rsid w:val="00974D89"/>
    <w:rsid w:val="00974F19"/>
    <w:rsid w:val="00975421"/>
    <w:rsid w:val="009758DC"/>
    <w:rsid w:val="00975AE4"/>
    <w:rsid w:val="00975B8D"/>
    <w:rsid w:val="009761C1"/>
    <w:rsid w:val="00976851"/>
    <w:rsid w:val="00976936"/>
    <w:rsid w:val="00977264"/>
    <w:rsid w:val="00977705"/>
    <w:rsid w:val="00977AC1"/>
    <w:rsid w:val="00977B3A"/>
    <w:rsid w:val="009803B0"/>
    <w:rsid w:val="009807A4"/>
    <w:rsid w:val="00980BBF"/>
    <w:rsid w:val="00980F8B"/>
    <w:rsid w:val="009811E3"/>
    <w:rsid w:val="009816D9"/>
    <w:rsid w:val="00982547"/>
    <w:rsid w:val="00982592"/>
    <w:rsid w:val="00982C3C"/>
    <w:rsid w:val="00983523"/>
    <w:rsid w:val="009837E8"/>
    <w:rsid w:val="0098393A"/>
    <w:rsid w:val="009839EB"/>
    <w:rsid w:val="00984043"/>
    <w:rsid w:val="00984092"/>
    <w:rsid w:val="009846A8"/>
    <w:rsid w:val="009847FD"/>
    <w:rsid w:val="00984BCE"/>
    <w:rsid w:val="009857BD"/>
    <w:rsid w:val="009858AC"/>
    <w:rsid w:val="0098597E"/>
    <w:rsid w:val="00985A6B"/>
    <w:rsid w:val="00985BFE"/>
    <w:rsid w:val="00987097"/>
    <w:rsid w:val="0098758A"/>
    <w:rsid w:val="0098765D"/>
    <w:rsid w:val="00987853"/>
    <w:rsid w:val="009878B9"/>
    <w:rsid w:val="00987B85"/>
    <w:rsid w:val="00987F70"/>
    <w:rsid w:val="009905C7"/>
    <w:rsid w:val="009906EF"/>
    <w:rsid w:val="00990FFE"/>
    <w:rsid w:val="0099128C"/>
    <w:rsid w:val="00991A57"/>
    <w:rsid w:val="00991A6E"/>
    <w:rsid w:val="00991CA8"/>
    <w:rsid w:val="00991FFB"/>
    <w:rsid w:val="0099357C"/>
    <w:rsid w:val="0099358C"/>
    <w:rsid w:val="00993AFF"/>
    <w:rsid w:val="009942A6"/>
    <w:rsid w:val="00994993"/>
    <w:rsid w:val="00994A41"/>
    <w:rsid w:val="00994E84"/>
    <w:rsid w:val="009951D1"/>
    <w:rsid w:val="00995293"/>
    <w:rsid w:val="00996138"/>
    <w:rsid w:val="0099632A"/>
    <w:rsid w:val="009965B4"/>
    <w:rsid w:val="00996D26"/>
    <w:rsid w:val="00997936"/>
    <w:rsid w:val="009979A8"/>
    <w:rsid w:val="00997CBE"/>
    <w:rsid w:val="00997E87"/>
    <w:rsid w:val="009A0319"/>
    <w:rsid w:val="009A05BC"/>
    <w:rsid w:val="009A060D"/>
    <w:rsid w:val="009A0858"/>
    <w:rsid w:val="009A0DC6"/>
    <w:rsid w:val="009A1B6D"/>
    <w:rsid w:val="009A1F6C"/>
    <w:rsid w:val="009A2174"/>
    <w:rsid w:val="009A24BA"/>
    <w:rsid w:val="009A28EA"/>
    <w:rsid w:val="009A29E2"/>
    <w:rsid w:val="009A2FC0"/>
    <w:rsid w:val="009A348C"/>
    <w:rsid w:val="009A36C5"/>
    <w:rsid w:val="009A44A9"/>
    <w:rsid w:val="009A4B0C"/>
    <w:rsid w:val="009A53F5"/>
    <w:rsid w:val="009A5DA4"/>
    <w:rsid w:val="009A5EF1"/>
    <w:rsid w:val="009A63DA"/>
    <w:rsid w:val="009A63EC"/>
    <w:rsid w:val="009A68A4"/>
    <w:rsid w:val="009A68AB"/>
    <w:rsid w:val="009A72B6"/>
    <w:rsid w:val="009A76E2"/>
    <w:rsid w:val="009A7841"/>
    <w:rsid w:val="009A7E70"/>
    <w:rsid w:val="009A7F46"/>
    <w:rsid w:val="009B00C0"/>
    <w:rsid w:val="009B01AB"/>
    <w:rsid w:val="009B0AD3"/>
    <w:rsid w:val="009B10F9"/>
    <w:rsid w:val="009B1180"/>
    <w:rsid w:val="009B12AE"/>
    <w:rsid w:val="009B1436"/>
    <w:rsid w:val="009B2285"/>
    <w:rsid w:val="009B23C2"/>
    <w:rsid w:val="009B2788"/>
    <w:rsid w:val="009B28E1"/>
    <w:rsid w:val="009B2FDB"/>
    <w:rsid w:val="009B316E"/>
    <w:rsid w:val="009B348A"/>
    <w:rsid w:val="009B3498"/>
    <w:rsid w:val="009B3812"/>
    <w:rsid w:val="009B3C21"/>
    <w:rsid w:val="009B47A6"/>
    <w:rsid w:val="009B52C8"/>
    <w:rsid w:val="009B5661"/>
    <w:rsid w:val="009B5F70"/>
    <w:rsid w:val="009B6287"/>
    <w:rsid w:val="009B644E"/>
    <w:rsid w:val="009B6636"/>
    <w:rsid w:val="009B6644"/>
    <w:rsid w:val="009B6B12"/>
    <w:rsid w:val="009B6C04"/>
    <w:rsid w:val="009B6C05"/>
    <w:rsid w:val="009B7CCF"/>
    <w:rsid w:val="009B7DEA"/>
    <w:rsid w:val="009C0453"/>
    <w:rsid w:val="009C0699"/>
    <w:rsid w:val="009C107F"/>
    <w:rsid w:val="009C156A"/>
    <w:rsid w:val="009C1B26"/>
    <w:rsid w:val="009C1E17"/>
    <w:rsid w:val="009C1EC0"/>
    <w:rsid w:val="009C1ECC"/>
    <w:rsid w:val="009C2730"/>
    <w:rsid w:val="009C33CC"/>
    <w:rsid w:val="009C3572"/>
    <w:rsid w:val="009C3E93"/>
    <w:rsid w:val="009C475D"/>
    <w:rsid w:val="009C4905"/>
    <w:rsid w:val="009C49AF"/>
    <w:rsid w:val="009C5204"/>
    <w:rsid w:val="009C54A1"/>
    <w:rsid w:val="009C5612"/>
    <w:rsid w:val="009C584A"/>
    <w:rsid w:val="009C5BB3"/>
    <w:rsid w:val="009C5F5C"/>
    <w:rsid w:val="009C5FC3"/>
    <w:rsid w:val="009C6152"/>
    <w:rsid w:val="009C634B"/>
    <w:rsid w:val="009C6428"/>
    <w:rsid w:val="009C656A"/>
    <w:rsid w:val="009C6B53"/>
    <w:rsid w:val="009C6FE3"/>
    <w:rsid w:val="009C71B7"/>
    <w:rsid w:val="009D047C"/>
    <w:rsid w:val="009D0D94"/>
    <w:rsid w:val="009D145C"/>
    <w:rsid w:val="009D264D"/>
    <w:rsid w:val="009D3BB8"/>
    <w:rsid w:val="009D3E77"/>
    <w:rsid w:val="009D42B5"/>
    <w:rsid w:val="009D4481"/>
    <w:rsid w:val="009D47B1"/>
    <w:rsid w:val="009D4EFF"/>
    <w:rsid w:val="009D53EA"/>
    <w:rsid w:val="009D54B9"/>
    <w:rsid w:val="009D5545"/>
    <w:rsid w:val="009D558C"/>
    <w:rsid w:val="009D5D8E"/>
    <w:rsid w:val="009D5EC4"/>
    <w:rsid w:val="009D64AF"/>
    <w:rsid w:val="009D6A42"/>
    <w:rsid w:val="009D6AA5"/>
    <w:rsid w:val="009D7155"/>
    <w:rsid w:val="009D7677"/>
    <w:rsid w:val="009D798E"/>
    <w:rsid w:val="009E0223"/>
    <w:rsid w:val="009E0FEF"/>
    <w:rsid w:val="009E131F"/>
    <w:rsid w:val="009E13FE"/>
    <w:rsid w:val="009E172E"/>
    <w:rsid w:val="009E3685"/>
    <w:rsid w:val="009E3A09"/>
    <w:rsid w:val="009E41BF"/>
    <w:rsid w:val="009E434A"/>
    <w:rsid w:val="009E43EC"/>
    <w:rsid w:val="009E45CF"/>
    <w:rsid w:val="009E4915"/>
    <w:rsid w:val="009E4A0A"/>
    <w:rsid w:val="009E4E63"/>
    <w:rsid w:val="009E52E0"/>
    <w:rsid w:val="009E573C"/>
    <w:rsid w:val="009E5751"/>
    <w:rsid w:val="009E5A65"/>
    <w:rsid w:val="009E66A3"/>
    <w:rsid w:val="009E6B2A"/>
    <w:rsid w:val="009E7788"/>
    <w:rsid w:val="009F0673"/>
    <w:rsid w:val="009F08B8"/>
    <w:rsid w:val="009F09F6"/>
    <w:rsid w:val="009F176A"/>
    <w:rsid w:val="009F1A84"/>
    <w:rsid w:val="009F1E1B"/>
    <w:rsid w:val="009F28BE"/>
    <w:rsid w:val="009F2D02"/>
    <w:rsid w:val="009F3205"/>
    <w:rsid w:val="009F3393"/>
    <w:rsid w:val="009F3BD3"/>
    <w:rsid w:val="009F3D75"/>
    <w:rsid w:val="009F3E36"/>
    <w:rsid w:val="009F41A4"/>
    <w:rsid w:val="009F4218"/>
    <w:rsid w:val="009F462B"/>
    <w:rsid w:val="009F48D0"/>
    <w:rsid w:val="009F4B43"/>
    <w:rsid w:val="009F4B74"/>
    <w:rsid w:val="009F4E61"/>
    <w:rsid w:val="009F4EE9"/>
    <w:rsid w:val="009F5262"/>
    <w:rsid w:val="009F5A81"/>
    <w:rsid w:val="009F5ECA"/>
    <w:rsid w:val="009F6246"/>
    <w:rsid w:val="009F63AB"/>
    <w:rsid w:val="009F64BC"/>
    <w:rsid w:val="009F64C6"/>
    <w:rsid w:val="009F6B8D"/>
    <w:rsid w:val="009F7022"/>
    <w:rsid w:val="009F7040"/>
    <w:rsid w:val="009F7580"/>
    <w:rsid w:val="009F7716"/>
    <w:rsid w:val="009F78F4"/>
    <w:rsid w:val="009F7CF9"/>
    <w:rsid w:val="00A0015F"/>
    <w:rsid w:val="00A00350"/>
    <w:rsid w:val="00A00493"/>
    <w:rsid w:val="00A00953"/>
    <w:rsid w:val="00A00E8C"/>
    <w:rsid w:val="00A014C7"/>
    <w:rsid w:val="00A025EC"/>
    <w:rsid w:val="00A02C5B"/>
    <w:rsid w:val="00A02D82"/>
    <w:rsid w:val="00A035F3"/>
    <w:rsid w:val="00A03631"/>
    <w:rsid w:val="00A0394D"/>
    <w:rsid w:val="00A039FB"/>
    <w:rsid w:val="00A04278"/>
    <w:rsid w:val="00A04AB5"/>
    <w:rsid w:val="00A04CF8"/>
    <w:rsid w:val="00A052DE"/>
    <w:rsid w:val="00A055FD"/>
    <w:rsid w:val="00A05910"/>
    <w:rsid w:val="00A0651D"/>
    <w:rsid w:val="00A0717A"/>
    <w:rsid w:val="00A07413"/>
    <w:rsid w:val="00A076D6"/>
    <w:rsid w:val="00A07722"/>
    <w:rsid w:val="00A07859"/>
    <w:rsid w:val="00A078AF"/>
    <w:rsid w:val="00A07915"/>
    <w:rsid w:val="00A07B65"/>
    <w:rsid w:val="00A07E41"/>
    <w:rsid w:val="00A07F04"/>
    <w:rsid w:val="00A108CE"/>
    <w:rsid w:val="00A11233"/>
    <w:rsid w:val="00A115EB"/>
    <w:rsid w:val="00A11674"/>
    <w:rsid w:val="00A116E9"/>
    <w:rsid w:val="00A117BC"/>
    <w:rsid w:val="00A12703"/>
    <w:rsid w:val="00A13418"/>
    <w:rsid w:val="00A1395D"/>
    <w:rsid w:val="00A13BD5"/>
    <w:rsid w:val="00A13BF1"/>
    <w:rsid w:val="00A14073"/>
    <w:rsid w:val="00A140AE"/>
    <w:rsid w:val="00A14315"/>
    <w:rsid w:val="00A1466F"/>
    <w:rsid w:val="00A148EE"/>
    <w:rsid w:val="00A15079"/>
    <w:rsid w:val="00A15744"/>
    <w:rsid w:val="00A167A1"/>
    <w:rsid w:val="00A167B3"/>
    <w:rsid w:val="00A16A48"/>
    <w:rsid w:val="00A16D2D"/>
    <w:rsid w:val="00A17713"/>
    <w:rsid w:val="00A178FB"/>
    <w:rsid w:val="00A17D39"/>
    <w:rsid w:val="00A20115"/>
    <w:rsid w:val="00A2013B"/>
    <w:rsid w:val="00A208F8"/>
    <w:rsid w:val="00A20CE5"/>
    <w:rsid w:val="00A21261"/>
    <w:rsid w:val="00A2197B"/>
    <w:rsid w:val="00A21E81"/>
    <w:rsid w:val="00A21F54"/>
    <w:rsid w:val="00A22A88"/>
    <w:rsid w:val="00A2365E"/>
    <w:rsid w:val="00A237BF"/>
    <w:rsid w:val="00A24828"/>
    <w:rsid w:val="00A24CD6"/>
    <w:rsid w:val="00A251E9"/>
    <w:rsid w:val="00A2551B"/>
    <w:rsid w:val="00A25864"/>
    <w:rsid w:val="00A25A3F"/>
    <w:rsid w:val="00A25DD0"/>
    <w:rsid w:val="00A26514"/>
    <w:rsid w:val="00A268C8"/>
    <w:rsid w:val="00A2722B"/>
    <w:rsid w:val="00A27920"/>
    <w:rsid w:val="00A27CB3"/>
    <w:rsid w:val="00A30016"/>
    <w:rsid w:val="00A30A78"/>
    <w:rsid w:val="00A30BD2"/>
    <w:rsid w:val="00A30EBD"/>
    <w:rsid w:val="00A30FB1"/>
    <w:rsid w:val="00A31228"/>
    <w:rsid w:val="00A316E6"/>
    <w:rsid w:val="00A31826"/>
    <w:rsid w:val="00A31942"/>
    <w:rsid w:val="00A31C5D"/>
    <w:rsid w:val="00A31D40"/>
    <w:rsid w:val="00A31DA9"/>
    <w:rsid w:val="00A323A6"/>
    <w:rsid w:val="00A32C9C"/>
    <w:rsid w:val="00A333F0"/>
    <w:rsid w:val="00A334A1"/>
    <w:rsid w:val="00A33723"/>
    <w:rsid w:val="00A339A5"/>
    <w:rsid w:val="00A3406C"/>
    <w:rsid w:val="00A3513A"/>
    <w:rsid w:val="00A35196"/>
    <w:rsid w:val="00A3546B"/>
    <w:rsid w:val="00A3548C"/>
    <w:rsid w:val="00A35A40"/>
    <w:rsid w:val="00A35FFE"/>
    <w:rsid w:val="00A367AC"/>
    <w:rsid w:val="00A3683E"/>
    <w:rsid w:val="00A36A2E"/>
    <w:rsid w:val="00A36D1D"/>
    <w:rsid w:val="00A37096"/>
    <w:rsid w:val="00A3797C"/>
    <w:rsid w:val="00A37FE5"/>
    <w:rsid w:val="00A40120"/>
    <w:rsid w:val="00A404BA"/>
    <w:rsid w:val="00A4096F"/>
    <w:rsid w:val="00A40D02"/>
    <w:rsid w:val="00A40F1C"/>
    <w:rsid w:val="00A418FD"/>
    <w:rsid w:val="00A420DD"/>
    <w:rsid w:val="00A425A1"/>
    <w:rsid w:val="00A42772"/>
    <w:rsid w:val="00A427A4"/>
    <w:rsid w:val="00A42AA6"/>
    <w:rsid w:val="00A42ECD"/>
    <w:rsid w:val="00A4306F"/>
    <w:rsid w:val="00A43281"/>
    <w:rsid w:val="00A43486"/>
    <w:rsid w:val="00A4379E"/>
    <w:rsid w:val="00A43A57"/>
    <w:rsid w:val="00A43CE7"/>
    <w:rsid w:val="00A43D2A"/>
    <w:rsid w:val="00A440F9"/>
    <w:rsid w:val="00A44973"/>
    <w:rsid w:val="00A44A56"/>
    <w:rsid w:val="00A45039"/>
    <w:rsid w:val="00A45085"/>
    <w:rsid w:val="00A45770"/>
    <w:rsid w:val="00A45A57"/>
    <w:rsid w:val="00A45C0A"/>
    <w:rsid w:val="00A45F16"/>
    <w:rsid w:val="00A46265"/>
    <w:rsid w:val="00A4650E"/>
    <w:rsid w:val="00A466E0"/>
    <w:rsid w:val="00A468A2"/>
    <w:rsid w:val="00A47373"/>
    <w:rsid w:val="00A473C1"/>
    <w:rsid w:val="00A47782"/>
    <w:rsid w:val="00A479E3"/>
    <w:rsid w:val="00A47F74"/>
    <w:rsid w:val="00A5007F"/>
    <w:rsid w:val="00A50746"/>
    <w:rsid w:val="00A50FDF"/>
    <w:rsid w:val="00A51469"/>
    <w:rsid w:val="00A516EE"/>
    <w:rsid w:val="00A5249B"/>
    <w:rsid w:val="00A52605"/>
    <w:rsid w:val="00A52742"/>
    <w:rsid w:val="00A52F7A"/>
    <w:rsid w:val="00A536A5"/>
    <w:rsid w:val="00A53781"/>
    <w:rsid w:val="00A537AE"/>
    <w:rsid w:val="00A53A4B"/>
    <w:rsid w:val="00A53A7C"/>
    <w:rsid w:val="00A53D00"/>
    <w:rsid w:val="00A544F2"/>
    <w:rsid w:val="00A54594"/>
    <w:rsid w:val="00A5493E"/>
    <w:rsid w:val="00A549B9"/>
    <w:rsid w:val="00A54B10"/>
    <w:rsid w:val="00A54B89"/>
    <w:rsid w:val="00A54C56"/>
    <w:rsid w:val="00A54DE5"/>
    <w:rsid w:val="00A5515A"/>
    <w:rsid w:val="00A551BA"/>
    <w:rsid w:val="00A5522E"/>
    <w:rsid w:val="00A55C9C"/>
    <w:rsid w:val="00A55E96"/>
    <w:rsid w:val="00A56341"/>
    <w:rsid w:val="00A566D7"/>
    <w:rsid w:val="00A569EB"/>
    <w:rsid w:val="00A56D3F"/>
    <w:rsid w:val="00A571D2"/>
    <w:rsid w:val="00A5720A"/>
    <w:rsid w:val="00A57AD7"/>
    <w:rsid w:val="00A57DDA"/>
    <w:rsid w:val="00A6006C"/>
    <w:rsid w:val="00A60770"/>
    <w:rsid w:val="00A6118B"/>
    <w:rsid w:val="00A611ED"/>
    <w:rsid w:val="00A61D5D"/>
    <w:rsid w:val="00A61DC4"/>
    <w:rsid w:val="00A622B2"/>
    <w:rsid w:val="00A62D60"/>
    <w:rsid w:val="00A62F94"/>
    <w:rsid w:val="00A633EC"/>
    <w:rsid w:val="00A63504"/>
    <w:rsid w:val="00A6385D"/>
    <w:rsid w:val="00A63CF1"/>
    <w:rsid w:val="00A63F69"/>
    <w:rsid w:val="00A6425D"/>
    <w:rsid w:val="00A644A6"/>
    <w:rsid w:val="00A64ADF"/>
    <w:rsid w:val="00A64AEF"/>
    <w:rsid w:val="00A64BE2"/>
    <w:rsid w:val="00A64CA0"/>
    <w:rsid w:val="00A65423"/>
    <w:rsid w:val="00A660AD"/>
    <w:rsid w:val="00A6610B"/>
    <w:rsid w:val="00A661DE"/>
    <w:rsid w:val="00A66349"/>
    <w:rsid w:val="00A664BE"/>
    <w:rsid w:val="00A665AF"/>
    <w:rsid w:val="00A669E1"/>
    <w:rsid w:val="00A67130"/>
    <w:rsid w:val="00A675A7"/>
    <w:rsid w:val="00A6786F"/>
    <w:rsid w:val="00A67C6D"/>
    <w:rsid w:val="00A701F1"/>
    <w:rsid w:val="00A70380"/>
    <w:rsid w:val="00A7059A"/>
    <w:rsid w:val="00A7062B"/>
    <w:rsid w:val="00A70700"/>
    <w:rsid w:val="00A7099D"/>
    <w:rsid w:val="00A70F7E"/>
    <w:rsid w:val="00A71067"/>
    <w:rsid w:val="00A71DCE"/>
    <w:rsid w:val="00A72186"/>
    <w:rsid w:val="00A726CD"/>
    <w:rsid w:val="00A729A6"/>
    <w:rsid w:val="00A729CF"/>
    <w:rsid w:val="00A72F12"/>
    <w:rsid w:val="00A72FB6"/>
    <w:rsid w:val="00A73186"/>
    <w:rsid w:val="00A736ED"/>
    <w:rsid w:val="00A73C49"/>
    <w:rsid w:val="00A73D95"/>
    <w:rsid w:val="00A744A6"/>
    <w:rsid w:val="00A74920"/>
    <w:rsid w:val="00A74ABB"/>
    <w:rsid w:val="00A74CD3"/>
    <w:rsid w:val="00A74F81"/>
    <w:rsid w:val="00A7587F"/>
    <w:rsid w:val="00A75C3B"/>
    <w:rsid w:val="00A760B6"/>
    <w:rsid w:val="00A761FD"/>
    <w:rsid w:val="00A76260"/>
    <w:rsid w:val="00A7644A"/>
    <w:rsid w:val="00A764AE"/>
    <w:rsid w:val="00A768F0"/>
    <w:rsid w:val="00A76E35"/>
    <w:rsid w:val="00A77214"/>
    <w:rsid w:val="00A77932"/>
    <w:rsid w:val="00A77C94"/>
    <w:rsid w:val="00A80040"/>
    <w:rsid w:val="00A807B4"/>
    <w:rsid w:val="00A80893"/>
    <w:rsid w:val="00A80AAF"/>
    <w:rsid w:val="00A812E0"/>
    <w:rsid w:val="00A8135A"/>
    <w:rsid w:val="00A81518"/>
    <w:rsid w:val="00A81C41"/>
    <w:rsid w:val="00A81C65"/>
    <w:rsid w:val="00A82110"/>
    <w:rsid w:val="00A82160"/>
    <w:rsid w:val="00A82625"/>
    <w:rsid w:val="00A829B8"/>
    <w:rsid w:val="00A829C8"/>
    <w:rsid w:val="00A82CA0"/>
    <w:rsid w:val="00A83252"/>
    <w:rsid w:val="00A83D30"/>
    <w:rsid w:val="00A846A5"/>
    <w:rsid w:val="00A848A9"/>
    <w:rsid w:val="00A849EF"/>
    <w:rsid w:val="00A84E31"/>
    <w:rsid w:val="00A850B6"/>
    <w:rsid w:val="00A852CE"/>
    <w:rsid w:val="00A85495"/>
    <w:rsid w:val="00A854AE"/>
    <w:rsid w:val="00A85B0C"/>
    <w:rsid w:val="00A85F72"/>
    <w:rsid w:val="00A86220"/>
    <w:rsid w:val="00A862B5"/>
    <w:rsid w:val="00A86DDE"/>
    <w:rsid w:val="00A8703C"/>
    <w:rsid w:val="00A873D1"/>
    <w:rsid w:val="00A8762E"/>
    <w:rsid w:val="00A879CF"/>
    <w:rsid w:val="00A87F24"/>
    <w:rsid w:val="00A90489"/>
    <w:rsid w:val="00A90A82"/>
    <w:rsid w:val="00A90F22"/>
    <w:rsid w:val="00A90F45"/>
    <w:rsid w:val="00A91202"/>
    <w:rsid w:val="00A9177C"/>
    <w:rsid w:val="00A91A40"/>
    <w:rsid w:val="00A91FE5"/>
    <w:rsid w:val="00A9291F"/>
    <w:rsid w:val="00A92EC4"/>
    <w:rsid w:val="00A9314D"/>
    <w:rsid w:val="00A9344E"/>
    <w:rsid w:val="00A93A64"/>
    <w:rsid w:val="00A94221"/>
    <w:rsid w:val="00A946BF"/>
    <w:rsid w:val="00A94960"/>
    <w:rsid w:val="00A94F28"/>
    <w:rsid w:val="00A95507"/>
    <w:rsid w:val="00A9562E"/>
    <w:rsid w:val="00A95817"/>
    <w:rsid w:val="00A960EA"/>
    <w:rsid w:val="00A9658C"/>
    <w:rsid w:val="00A96A3F"/>
    <w:rsid w:val="00A975CA"/>
    <w:rsid w:val="00A978ED"/>
    <w:rsid w:val="00A97A3E"/>
    <w:rsid w:val="00A97B05"/>
    <w:rsid w:val="00AA034A"/>
    <w:rsid w:val="00AA0863"/>
    <w:rsid w:val="00AA0C30"/>
    <w:rsid w:val="00AA0C5A"/>
    <w:rsid w:val="00AA0E85"/>
    <w:rsid w:val="00AA1111"/>
    <w:rsid w:val="00AA125F"/>
    <w:rsid w:val="00AA1F57"/>
    <w:rsid w:val="00AA1F9F"/>
    <w:rsid w:val="00AA23A8"/>
    <w:rsid w:val="00AA28B7"/>
    <w:rsid w:val="00AA56B2"/>
    <w:rsid w:val="00AA6447"/>
    <w:rsid w:val="00AA659D"/>
    <w:rsid w:val="00AA6CA5"/>
    <w:rsid w:val="00AA6FD7"/>
    <w:rsid w:val="00AA6FDF"/>
    <w:rsid w:val="00AA775C"/>
    <w:rsid w:val="00AA7A3F"/>
    <w:rsid w:val="00AA7C8A"/>
    <w:rsid w:val="00AA7ECE"/>
    <w:rsid w:val="00AB0C72"/>
    <w:rsid w:val="00AB112D"/>
    <w:rsid w:val="00AB1517"/>
    <w:rsid w:val="00AB15B4"/>
    <w:rsid w:val="00AB179C"/>
    <w:rsid w:val="00AB199B"/>
    <w:rsid w:val="00AB1ED9"/>
    <w:rsid w:val="00AB2058"/>
    <w:rsid w:val="00AB2D8B"/>
    <w:rsid w:val="00AB2EAD"/>
    <w:rsid w:val="00AB2EF6"/>
    <w:rsid w:val="00AB304D"/>
    <w:rsid w:val="00AB305D"/>
    <w:rsid w:val="00AB3442"/>
    <w:rsid w:val="00AB3578"/>
    <w:rsid w:val="00AB3C7A"/>
    <w:rsid w:val="00AB3DC1"/>
    <w:rsid w:val="00AB4299"/>
    <w:rsid w:val="00AB51E9"/>
    <w:rsid w:val="00AB5849"/>
    <w:rsid w:val="00AB5A53"/>
    <w:rsid w:val="00AB62B9"/>
    <w:rsid w:val="00AB6924"/>
    <w:rsid w:val="00AB692C"/>
    <w:rsid w:val="00AB6CA9"/>
    <w:rsid w:val="00AC0124"/>
    <w:rsid w:val="00AC15BC"/>
    <w:rsid w:val="00AC15D8"/>
    <w:rsid w:val="00AC1818"/>
    <w:rsid w:val="00AC1AFB"/>
    <w:rsid w:val="00AC1F10"/>
    <w:rsid w:val="00AC1F86"/>
    <w:rsid w:val="00AC239D"/>
    <w:rsid w:val="00AC254C"/>
    <w:rsid w:val="00AC2EC7"/>
    <w:rsid w:val="00AC367E"/>
    <w:rsid w:val="00AC3758"/>
    <w:rsid w:val="00AC3BC4"/>
    <w:rsid w:val="00AC3E30"/>
    <w:rsid w:val="00AC4613"/>
    <w:rsid w:val="00AC478E"/>
    <w:rsid w:val="00AC485E"/>
    <w:rsid w:val="00AC4BE7"/>
    <w:rsid w:val="00AC4D00"/>
    <w:rsid w:val="00AC58D9"/>
    <w:rsid w:val="00AC5DF2"/>
    <w:rsid w:val="00AC6112"/>
    <w:rsid w:val="00AC62E1"/>
    <w:rsid w:val="00AC6684"/>
    <w:rsid w:val="00AC6946"/>
    <w:rsid w:val="00AC6D47"/>
    <w:rsid w:val="00AC6DF2"/>
    <w:rsid w:val="00AC6F2D"/>
    <w:rsid w:val="00AC6F66"/>
    <w:rsid w:val="00AC7015"/>
    <w:rsid w:val="00AC75C4"/>
    <w:rsid w:val="00AC7649"/>
    <w:rsid w:val="00AC766E"/>
    <w:rsid w:val="00AC7BA3"/>
    <w:rsid w:val="00AD042F"/>
    <w:rsid w:val="00AD0623"/>
    <w:rsid w:val="00AD063B"/>
    <w:rsid w:val="00AD080E"/>
    <w:rsid w:val="00AD0936"/>
    <w:rsid w:val="00AD0E6C"/>
    <w:rsid w:val="00AD0F65"/>
    <w:rsid w:val="00AD1113"/>
    <w:rsid w:val="00AD13D8"/>
    <w:rsid w:val="00AD13DD"/>
    <w:rsid w:val="00AD18CB"/>
    <w:rsid w:val="00AD196F"/>
    <w:rsid w:val="00AD1EEE"/>
    <w:rsid w:val="00AD2166"/>
    <w:rsid w:val="00AD329A"/>
    <w:rsid w:val="00AD337C"/>
    <w:rsid w:val="00AD3546"/>
    <w:rsid w:val="00AD3710"/>
    <w:rsid w:val="00AD3853"/>
    <w:rsid w:val="00AD38AD"/>
    <w:rsid w:val="00AD3CBF"/>
    <w:rsid w:val="00AD3E4A"/>
    <w:rsid w:val="00AD4127"/>
    <w:rsid w:val="00AD42C5"/>
    <w:rsid w:val="00AD5362"/>
    <w:rsid w:val="00AD58B7"/>
    <w:rsid w:val="00AD5954"/>
    <w:rsid w:val="00AD5A6A"/>
    <w:rsid w:val="00AD67E9"/>
    <w:rsid w:val="00AD6A00"/>
    <w:rsid w:val="00AD75A9"/>
    <w:rsid w:val="00AE014E"/>
    <w:rsid w:val="00AE07A5"/>
    <w:rsid w:val="00AE123F"/>
    <w:rsid w:val="00AE15C0"/>
    <w:rsid w:val="00AE1ADC"/>
    <w:rsid w:val="00AE2160"/>
    <w:rsid w:val="00AE24D8"/>
    <w:rsid w:val="00AE388E"/>
    <w:rsid w:val="00AE399D"/>
    <w:rsid w:val="00AE3B36"/>
    <w:rsid w:val="00AE3CAF"/>
    <w:rsid w:val="00AE3E1F"/>
    <w:rsid w:val="00AE3F21"/>
    <w:rsid w:val="00AE43ED"/>
    <w:rsid w:val="00AE4932"/>
    <w:rsid w:val="00AE4F14"/>
    <w:rsid w:val="00AE5D16"/>
    <w:rsid w:val="00AE68C3"/>
    <w:rsid w:val="00AE69FC"/>
    <w:rsid w:val="00AE752C"/>
    <w:rsid w:val="00AE7BC0"/>
    <w:rsid w:val="00AE7E5D"/>
    <w:rsid w:val="00AF05E3"/>
    <w:rsid w:val="00AF0C1C"/>
    <w:rsid w:val="00AF141F"/>
    <w:rsid w:val="00AF14F2"/>
    <w:rsid w:val="00AF1993"/>
    <w:rsid w:val="00AF1A0A"/>
    <w:rsid w:val="00AF1D83"/>
    <w:rsid w:val="00AF253D"/>
    <w:rsid w:val="00AF2F64"/>
    <w:rsid w:val="00AF364F"/>
    <w:rsid w:val="00AF3963"/>
    <w:rsid w:val="00AF460D"/>
    <w:rsid w:val="00AF484B"/>
    <w:rsid w:val="00AF48F0"/>
    <w:rsid w:val="00AF4F33"/>
    <w:rsid w:val="00AF5235"/>
    <w:rsid w:val="00AF53DF"/>
    <w:rsid w:val="00AF5495"/>
    <w:rsid w:val="00AF5F0A"/>
    <w:rsid w:val="00AF5F35"/>
    <w:rsid w:val="00AF6143"/>
    <w:rsid w:val="00AF664B"/>
    <w:rsid w:val="00AF6F85"/>
    <w:rsid w:val="00AF7102"/>
    <w:rsid w:val="00B00592"/>
    <w:rsid w:val="00B00B31"/>
    <w:rsid w:val="00B00B63"/>
    <w:rsid w:val="00B01404"/>
    <w:rsid w:val="00B0141B"/>
    <w:rsid w:val="00B017F1"/>
    <w:rsid w:val="00B01E6D"/>
    <w:rsid w:val="00B0212A"/>
    <w:rsid w:val="00B02198"/>
    <w:rsid w:val="00B02968"/>
    <w:rsid w:val="00B03AD1"/>
    <w:rsid w:val="00B03B3D"/>
    <w:rsid w:val="00B03ECF"/>
    <w:rsid w:val="00B04A26"/>
    <w:rsid w:val="00B04B0E"/>
    <w:rsid w:val="00B04D3C"/>
    <w:rsid w:val="00B05169"/>
    <w:rsid w:val="00B0572D"/>
    <w:rsid w:val="00B05B9B"/>
    <w:rsid w:val="00B05DD1"/>
    <w:rsid w:val="00B065D8"/>
    <w:rsid w:val="00B0672B"/>
    <w:rsid w:val="00B069C7"/>
    <w:rsid w:val="00B06C56"/>
    <w:rsid w:val="00B074C0"/>
    <w:rsid w:val="00B075D2"/>
    <w:rsid w:val="00B076D5"/>
    <w:rsid w:val="00B0773B"/>
    <w:rsid w:val="00B10293"/>
    <w:rsid w:val="00B10A21"/>
    <w:rsid w:val="00B10ADC"/>
    <w:rsid w:val="00B10F6E"/>
    <w:rsid w:val="00B110F4"/>
    <w:rsid w:val="00B11278"/>
    <w:rsid w:val="00B114AA"/>
    <w:rsid w:val="00B116DD"/>
    <w:rsid w:val="00B11E11"/>
    <w:rsid w:val="00B12138"/>
    <w:rsid w:val="00B12263"/>
    <w:rsid w:val="00B126FB"/>
    <w:rsid w:val="00B12A10"/>
    <w:rsid w:val="00B12B11"/>
    <w:rsid w:val="00B12DE9"/>
    <w:rsid w:val="00B13642"/>
    <w:rsid w:val="00B137DD"/>
    <w:rsid w:val="00B13BAA"/>
    <w:rsid w:val="00B14355"/>
    <w:rsid w:val="00B14646"/>
    <w:rsid w:val="00B14835"/>
    <w:rsid w:val="00B14DF2"/>
    <w:rsid w:val="00B14E0C"/>
    <w:rsid w:val="00B14F03"/>
    <w:rsid w:val="00B151C5"/>
    <w:rsid w:val="00B1556B"/>
    <w:rsid w:val="00B15E4A"/>
    <w:rsid w:val="00B15E75"/>
    <w:rsid w:val="00B161F2"/>
    <w:rsid w:val="00B163A9"/>
    <w:rsid w:val="00B165E0"/>
    <w:rsid w:val="00B178EA"/>
    <w:rsid w:val="00B17CB8"/>
    <w:rsid w:val="00B17F1C"/>
    <w:rsid w:val="00B20122"/>
    <w:rsid w:val="00B201A0"/>
    <w:rsid w:val="00B20A51"/>
    <w:rsid w:val="00B20F80"/>
    <w:rsid w:val="00B2140B"/>
    <w:rsid w:val="00B2149D"/>
    <w:rsid w:val="00B21608"/>
    <w:rsid w:val="00B21655"/>
    <w:rsid w:val="00B21678"/>
    <w:rsid w:val="00B21E14"/>
    <w:rsid w:val="00B22039"/>
    <w:rsid w:val="00B228F0"/>
    <w:rsid w:val="00B22DAB"/>
    <w:rsid w:val="00B2301B"/>
    <w:rsid w:val="00B235CE"/>
    <w:rsid w:val="00B237CF"/>
    <w:rsid w:val="00B23952"/>
    <w:rsid w:val="00B23EA4"/>
    <w:rsid w:val="00B2420A"/>
    <w:rsid w:val="00B24694"/>
    <w:rsid w:val="00B24718"/>
    <w:rsid w:val="00B24E0B"/>
    <w:rsid w:val="00B24FF2"/>
    <w:rsid w:val="00B25114"/>
    <w:rsid w:val="00B2541D"/>
    <w:rsid w:val="00B25D87"/>
    <w:rsid w:val="00B26336"/>
    <w:rsid w:val="00B265E8"/>
    <w:rsid w:val="00B266DB"/>
    <w:rsid w:val="00B26724"/>
    <w:rsid w:val="00B26AAC"/>
    <w:rsid w:val="00B26EF8"/>
    <w:rsid w:val="00B27072"/>
    <w:rsid w:val="00B27403"/>
    <w:rsid w:val="00B279C6"/>
    <w:rsid w:val="00B304AF"/>
    <w:rsid w:val="00B30742"/>
    <w:rsid w:val="00B30D43"/>
    <w:rsid w:val="00B3211C"/>
    <w:rsid w:val="00B32466"/>
    <w:rsid w:val="00B32517"/>
    <w:rsid w:val="00B32F92"/>
    <w:rsid w:val="00B330BB"/>
    <w:rsid w:val="00B33C92"/>
    <w:rsid w:val="00B33F0A"/>
    <w:rsid w:val="00B34120"/>
    <w:rsid w:val="00B34BE4"/>
    <w:rsid w:val="00B350F0"/>
    <w:rsid w:val="00B354F1"/>
    <w:rsid w:val="00B3575D"/>
    <w:rsid w:val="00B35F1E"/>
    <w:rsid w:val="00B363F0"/>
    <w:rsid w:val="00B367EF"/>
    <w:rsid w:val="00B36A4A"/>
    <w:rsid w:val="00B36D72"/>
    <w:rsid w:val="00B36DAD"/>
    <w:rsid w:val="00B37317"/>
    <w:rsid w:val="00B37812"/>
    <w:rsid w:val="00B37815"/>
    <w:rsid w:val="00B37CA7"/>
    <w:rsid w:val="00B37CC0"/>
    <w:rsid w:val="00B37F33"/>
    <w:rsid w:val="00B406A2"/>
    <w:rsid w:val="00B40E69"/>
    <w:rsid w:val="00B411CD"/>
    <w:rsid w:val="00B413F4"/>
    <w:rsid w:val="00B416CC"/>
    <w:rsid w:val="00B41754"/>
    <w:rsid w:val="00B41AF8"/>
    <w:rsid w:val="00B41FA9"/>
    <w:rsid w:val="00B421BD"/>
    <w:rsid w:val="00B4228D"/>
    <w:rsid w:val="00B422AD"/>
    <w:rsid w:val="00B42F04"/>
    <w:rsid w:val="00B436B1"/>
    <w:rsid w:val="00B43707"/>
    <w:rsid w:val="00B4398D"/>
    <w:rsid w:val="00B43D3C"/>
    <w:rsid w:val="00B444C4"/>
    <w:rsid w:val="00B44602"/>
    <w:rsid w:val="00B44610"/>
    <w:rsid w:val="00B44713"/>
    <w:rsid w:val="00B44919"/>
    <w:rsid w:val="00B44A7B"/>
    <w:rsid w:val="00B452B5"/>
    <w:rsid w:val="00B4578C"/>
    <w:rsid w:val="00B457FB"/>
    <w:rsid w:val="00B46D7C"/>
    <w:rsid w:val="00B4706A"/>
    <w:rsid w:val="00B4757A"/>
    <w:rsid w:val="00B47724"/>
    <w:rsid w:val="00B478C8"/>
    <w:rsid w:val="00B47EC1"/>
    <w:rsid w:val="00B50036"/>
    <w:rsid w:val="00B5013E"/>
    <w:rsid w:val="00B50D3E"/>
    <w:rsid w:val="00B50F84"/>
    <w:rsid w:val="00B51256"/>
    <w:rsid w:val="00B51C6D"/>
    <w:rsid w:val="00B51DBD"/>
    <w:rsid w:val="00B51EDF"/>
    <w:rsid w:val="00B5203A"/>
    <w:rsid w:val="00B52720"/>
    <w:rsid w:val="00B52DF3"/>
    <w:rsid w:val="00B53511"/>
    <w:rsid w:val="00B53860"/>
    <w:rsid w:val="00B54079"/>
    <w:rsid w:val="00B54217"/>
    <w:rsid w:val="00B543E7"/>
    <w:rsid w:val="00B5450B"/>
    <w:rsid w:val="00B546F3"/>
    <w:rsid w:val="00B546FF"/>
    <w:rsid w:val="00B54B2E"/>
    <w:rsid w:val="00B54E31"/>
    <w:rsid w:val="00B55588"/>
    <w:rsid w:val="00B55612"/>
    <w:rsid w:val="00B55820"/>
    <w:rsid w:val="00B55E41"/>
    <w:rsid w:val="00B56E76"/>
    <w:rsid w:val="00B56F85"/>
    <w:rsid w:val="00B5701F"/>
    <w:rsid w:val="00B57AAD"/>
    <w:rsid w:val="00B6060B"/>
    <w:rsid w:val="00B61621"/>
    <w:rsid w:val="00B616BD"/>
    <w:rsid w:val="00B6180C"/>
    <w:rsid w:val="00B61FEC"/>
    <w:rsid w:val="00B635EE"/>
    <w:rsid w:val="00B6369D"/>
    <w:rsid w:val="00B6371F"/>
    <w:rsid w:val="00B63840"/>
    <w:rsid w:val="00B63982"/>
    <w:rsid w:val="00B64142"/>
    <w:rsid w:val="00B64199"/>
    <w:rsid w:val="00B643EA"/>
    <w:rsid w:val="00B647CF"/>
    <w:rsid w:val="00B658EF"/>
    <w:rsid w:val="00B65AA9"/>
    <w:rsid w:val="00B662B5"/>
    <w:rsid w:val="00B6695B"/>
    <w:rsid w:val="00B669C0"/>
    <w:rsid w:val="00B66CD0"/>
    <w:rsid w:val="00B66DA2"/>
    <w:rsid w:val="00B67662"/>
    <w:rsid w:val="00B67714"/>
    <w:rsid w:val="00B677FE"/>
    <w:rsid w:val="00B677FF"/>
    <w:rsid w:val="00B67CC3"/>
    <w:rsid w:val="00B67F97"/>
    <w:rsid w:val="00B70040"/>
    <w:rsid w:val="00B703EE"/>
    <w:rsid w:val="00B70571"/>
    <w:rsid w:val="00B705D2"/>
    <w:rsid w:val="00B706D1"/>
    <w:rsid w:val="00B70A7E"/>
    <w:rsid w:val="00B7151D"/>
    <w:rsid w:val="00B7179B"/>
    <w:rsid w:val="00B71AA9"/>
    <w:rsid w:val="00B722EA"/>
    <w:rsid w:val="00B7239A"/>
    <w:rsid w:val="00B72724"/>
    <w:rsid w:val="00B72B51"/>
    <w:rsid w:val="00B72C9E"/>
    <w:rsid w:val="00B73200"/>
    <w:rsid w:val="00B73477"/>
    <w:rsid w:val="00B7388B"/>
    <w:rsid w:val="00B73F24"/>
    <w:rsid w:val="00B74012"/>
    <w:rsid w:val="00B74491"/>
    <w:rsid w:val="00B74B64"/>
    <w:rsid w:val="00B75245"/>
    <w:rsid w:val="00B75BC6"/>
    <w:rsid w:val="00B75CC9"/>
    <w:rsid w:val="00B75F20"/>
    <w:rsid w:val="00B760D8"/>
    <w:rsid w:val="00B76145"/>
    <w:rsid w:val="00B764BD"/>
    <w:rsid w:val="00B76C47"/>
    <w:rsid w:val="00B76FC4"/>
    <w:rsid w:val="00B7739B"/>
    <w:rsid w:val="00B80D96"/>
    <w:rsid w:val="00B81610"/>
    <w:rsid w:val="00B821D2"/>
    <w:rsid w:val="00B827C6"/>
    <w:rsid w:val="00B828F8"/>
    <w:rsid w:val="00B82DB3"/>
    <w:rsid w:val="00B82FD2"/>
    <w:rsid w:val="00B837C5"/>
    <w:rsid w:val="00B83A56"/>
    <w:rsid w:val="00B83E01"/>
    <w:rsid w:val="00B83EED"/>
    <w:rsid w:val="00B83FCD"/>
    <w:rsid w:val="00B842E1"/>
    <w:rsid w:val="00B84710"/>
    <w:rsid w:val="00B848E4"/>
    <w:rsid w:val="00B849FE"/>
    <w:rsid w:val="00B84EB2"/>
    <w:rsid w:val="00B8543B"/>
    <w:rsid w:val="00B8572B"/>
    <w:rsid w:val="00B85BC6"/>
    <w:rsid w:val="00B85C63"/>
    <w:rsid w:val="00B85D57"/>
    <w:rsid w:val="00B866E6"/>
    <w:rsid w:val="00B86D3B"/>
    <w:rsid w:val="00B86E45"/>
    <w:rsid w:val="00B872B8"/>
    <w:rsid w:val="00B8752E"/>
    <w:rsid w:val="00B878CC"/>
    <w:rsid w:val="00B87970"/>
    <w:rsid w:val="00B87E8D"/>
    <w:rsid w:val="00B91FDB"/>
    <w:rsid w:val="00B92062"/>
    <w:rsid w:val="00B924D4"/>
    <w:rsid w:val="00B926BD"/>
    <w:rsid w:val="00B926DE"/>
    <w:rsid w:val="00B92966"/>
    <w:rsid w:val="00B9306C"/>
    <w:rsid w:val="00B934DA"/>
    <w:rsid w:val="00B93A4E"/>
    <w:rsid w:val="00B95228"/>
    <w:rsid w:val="00B95D2A"/>
    <w:rsid w:val="00B962C0"/>
    <w:rsid w:val="00B96834"/>
    <w:rsid w:val="00B96A0B"/>
    <w:rsid w:val="00B96FAA"/>
    <w:rsid w:val="00B973BE"/>
    <w:rsid w:val="00B976E4"/>
    <w:rsid w:val="00BA01E3"/>
    <w:rsid w:val="00BA01E5"/>
    <w:rsid w:val="00BA04DD"/>
    <w:rsid w:val="00BA056E"/>
    <w:rsid w:val="00BA0695"/>
    <w:rsid w:val="00BA09D0"/>
    <w:rsid w:val="00BA0F26"/>
    <w:rsid w:val="00BA100D"/>
    <w:rsid w:val="00BA13BE"/>
    <w:rsid w:val="00BA1917"/>
    <w:rsid w:val="00BA1952"/>
    <w:rsid w:val="00BA1B19"/>
    <w:rsid w:val="00BA1D2E"/>
    <w:rsid w:val="00BA1D50"/>
    <w:rsid w:val="00BA24E0"/>
    <w:rsid w:val="00BA2509"/>
    <w:rsid w:val="00BA259D"/>
    <w:rsid w:val="00BA309C"/>
    <w:rsid w:val="00BA31EB"/>
    <w:rsid w:val="00BA394B"/>
    <w:rsid w:val="00BA3D31"/>
    <w:rsid w:val="00BA3F07"/>
    <w:rsid w:val="00BA4DF3"/>
    <w:rsid w:val="00BA4E58"/>
    <w:rsid w:val="00BA529D"/>
    <w:rsid w:val="00BA58C8"/>
    <w:rsid w:val="00BA59C0"/>
    <w:rsid w:val="00BA5A77"/>
    <w:rsid w:val="00BA600D"/>
    <w:rsid w:val="00BA62FE"/>
    <w:rsid w:val="00BA6455"/>
    <w:rsid w:val="00BA64AE"/>
    <w:rsid w:val="00BA683A"/>
    <w:rsid w:val="00BA78E3"/>
    <w:rsid w:val="00BA79F9"/>
    <w:rsid w:val="00BA7DD9"/>
    <w:rsid w:val="00BA7E2A"/>
    <w:rsid w:val="00BB08D8"/>
    <w:rsid w:val="00BB0C50"/>
    <w:rsid w:val="00BB115A"/>
    <w:rsid w:val="00BB129A"/>
    <w:rsid w:val="00BB17E2"/>
    <w:rsid w:val="00BB1A4E"/>
    <w:rsid w:val="00BB1DFD"/>
    <w:rsid w:val="00BB1E68"/>
    <w:rsid w:val="00BB215E"/>
    <w:rsid w:val="00BB24C7"/>
    <w:rsid w:val="00BB2641"/>
    <w:rsid w:val="00BB26C7"/>
    <w:rsid w:val="00BB2804"/>
    <w:rsid w:val="00BB294A"/>
    <w:rsid w:val="00BB2A11"/>
    <w:rsid w:val="00BB338B"/>
    <w:rsid w:val="00BB3404"/>
    <w:rsid w:val="00BB34A2"/>
    <w:rsid w:val="00BB3730"/>
    <w:rsid w:val="00BB394D"/>
    <w:rsid w:val="00BB3CD2"/>
    <w:rsid w:val="00BB456E"/>
    <w:rsid w:val="00BB47BC"/>
    <w:rsid w:val="00BB4BC4"/>
    <w:rsid w:val="00BB5A75"/>
    <w:rsid w:val="00BB5AD9"/>
    <w:rsid w:val="00BB61CA"/>
    <w:rsid w:val="00BB66D3"/>
    <w:rsid w:val="00BB67D7"/>
    <w:rsid w:val="00BB6AE5"/>
    <w:rsid w:val="00BB6D8F"/>
    <w:rsid w:val="00BB7C52"/>
    <w:rsid w:val="00BB7F59"/>
    <w:rsid w:val="00BC0A8A"/>
    <w:rsid w:val="00BC0B99"/>
    <w:rsid w:val="00BC0CE3"/>
    <w:rsid w:val="00BC0DF2"/>
    <w:rsid w:val="00BC1936"/>
    <w:rsid w:val="00BC1B34"/>
    <w:rsid w:val="00BC1C21"/>
    <w:rsid w:val="00BC1F96"/>
    <w:rsid w:val="00BC2257"/>
    <w:rsid w:val="00BC2593"/>
    <w:rsid w:val="00BC2773"/>
    <w:rsid w:val="00BC2B1E"/>
    <w:rsid w:val="00BC2E3A"/>
    <w:rsid w:val="00BC2EB7"/>
    <w:rsid w:val="00BC3827"/>
    <w:rsid w:val="00BC38DE"/>
    <w:rsid w:val="00BC3BA5"/>
    <w:rsid w:val="00BC485F"/>
    <w:rsid w:val="00BC4867"/>
    <w:rsid w:val="00BC4A72"/>
    <w:rsid w:val="00BC546E"/>
    <w:rsid w:val="00BC572B"/>
    <w:rsid w:val="00BC6006"/>
    <w:rsid w:val="00BC698E"/>
    <w:rsid w:val="00BC6DCE"/>
    <w:rsid w:val="00BC7BC6"/>
    <w:rsid w:val="00BC7C1D"/>
    <w:rsid w:val="00BD06AE"/>
    <w:rsid w:val="00BD120E"/>
    <w:rsid w:val="00BD14EA"/>
    <w:rsid w:val="00BD18AF"/>
    <w:rsid w:val="00BD1D23"/>
    <w:rsid w:val="00BD2206"/>
    <w:rsid w:val="00BD23B5"/>
    <w:rsid w:val="00BD2981"/>
    <w:rsid w:val="00BD29D0"/>
    <w:rsid w:val="00BD2D0C"/>
    <w:rsid w:val="00BD30A1"/>
    <w:rsid w:val="00BD3100"/>
    <w:rsid w:val="00BD3531"/>
    <w:rsid w:val="00BD38B3"/>
    <w:rsid w:val="00BD3ACB"/>
    <w:rsid w:val="00BD3F02"/>
    <w:rsid w:val="00BD4CA1"/>
    <w:rsid w:val="00BD536B"/>
    <w:rsid w:val="00BD5611"/>
    <w:rsid w:val="00BD5844"/>
    <w:rsid w:val="00BD615A"/>
    <w:rsid w:val="00BD63BC"/>
    <w:rsid w:val="00BD6988"/>
    <w:rsid w:val="00BD6E2C"/>
    <w:rsid w:val="00BD7314"/>
    <w:rsid w:val="00BD7A0B"/>
    <w:rsid w:val="00BD7B72"/>
    <w:rsid w:val="00BD7E03"/>
    <w:rsid w:val="00BE03DE"/>
    <w:rsid w:val="00BE0567"/>
    <w:rsid w:val="00BE0597"/>
    <w:rsid w:val="00BE0738"/>
    <w:rsid w:val="00BE0AF6"/>
    <w:rsid w:val="00BE0BC2"/>
    <w:rsid w:val="00BE1CC4"/>
    <w:rsid w:val="00BE211C"/>
    <w:rsid w:val="00BE2515"/>
    <w:rsid w:val="00BE29A6"/>
    <w:rsid w:val="00BE2C4D"/>
    <w:rsid w:val="00BE30EA"/>
    <w:rsid w:val="00BE338D"/>
    <w:rsid w:val="00BE33E8"/>
    <w:rsid w:val="00BE376C"/>
    <w:rsid w:val="00BE39A3"/>
    <w:rsid w:val="00BE42BD"/>
    <w:rsid w:val="00BE47BC"/>
    <w:rsid w:val="00BE4EB3"/>
    <w:rsid w:val="00BE51AB"/>
    <w:rsid w:val="00BE5598"/>
    <w:rsid w:val="00BE5A6D"/>
    <w:rsid w:val="00BE628B"/>
    <w:rsid w:val="00BE6430"/>
    <w:rsid w:val="00BE6438"/>
    <w:rsid w:val="00BE6679"/>
    <w:rsid w:val="00BE6925"/>
    <w:rsid w:val="00BE6C07"/>
    <w:rsid w:val="00BE6D00"/>
    <w:rsid w:val="00BE6E86"/>
    <w:rsid w:val="00BE745A"/>
    <w:rsid w:val="00BE7A23"/>
    <w:rsid w:val="00BE7B4D"/>
    <w:rsid w:val="00BE7BC2"/>
    <w:rsid w:val="00BF08E6"/>
    <w:rsid w:val="00BF0D03"/>
    <w:rsid w:val="00BF1918"/>
    <w:rsid w:val="00BF1D97"/>
    <w:rsid w:val="00BF2873"/>
    <w:rsid w:val="00BF2B3A"/>
    <w:rsid w:val="00BF2D96"/>
    <w:rsid w:val="00BF2EAA"/>
    <w:rsid w:val="00BF2F03"/>
    <w:rsid w:val="00BF31E2"/>
    <w:rsid w:val="00BF31E6"/>
    <w:rsid w:val="00BF36CB"/>
    <w:rsid w:val="00BF3715"/>
    <w:rsid w:val="00BF37B4"/>
    <w:rsid w:val="00BF3F78"/>
    <w:rsid w:val="00BF42B1"/>
    <w:rsid w:val="00BF463B"/>
    <w:rsid w:val="00BF4673"/>
    <w:rsid w:val="00BF4AC8"/>
    <w:rsid w:val="00BF5218"/>
    <w:rsid w:val="00BF590D"/>
    <w:rsid w:val="00BF6352"/>
    <w:rsid w:val="00BF696B"/>
    <w:rsid w:val="00BF697C"/>
    <w:rsid w:val="00BF6995"/>
    <w:rsid w:val="00BF69C3"/>
    <w:rsid w:val="00BF723C"/>
    <w:rsid w:val="00BF7387"/>
    <w:rsid w:val="00BF78AE"/>
    <w:rsid w:val="00BF7FC6"/>
    <w:rsid w:val="00C00153"/>
    <w:rsid w:val="00C004BC"/>
    <w:rsid w:val="00C00687"/>
    <w:rsid w:val="00C00BA6"/>
    <w:rsid w:val="00C026B2"/>
    <w:rsid w:val="00C0286F"/>
    <w:rsid w:val="00C02EF9"/>
    <w:rsid w:val="00C0302D"/>
    <w:rsid w:val="00C0381B"/>
    <w:rsid w:val="00C03838"/>
    <w:rsid w:val="00C03AC0"/>
    <w:rsid w:val="00C04448"/>
    <w:rsid w:val="00C04488"/>
    <w:rsid w:val="00C04A44"/>
    <w:rsid w:val="00C0521A"/>
    <w:rsid w:val="00C058B6"/>
    <w:rsid w:val="00C059E9"/>
    <w:rsid w:val="00C05FA8"/>
    <w:rsid w:val="00C06321"/>
    <w:rsid w:val="00C06427"/>
    <w:rsid w:val="00C068BF"/>
    <w:rsid w:val="00C068EF"/>
    <w:rsid w:val="00C07D40"/>
    <w:rsid w:val="00C1096A"/>
    <w:rsid w:val="00C113C8"/>
    <w:rsid w:val="00C1140D"/>
    <w:rsid w:val="00C11C49"/>
    <w:rsid w:val="00C11FC8"/>
    <w:rsid w:val="00C12FB2"/>
    <w:rsid w:val="00C1311E"/>
    <w:rsid w:val="00C13B76"/>
    <w:rsid w:val="00C13D4F"/>
    <w:rsid w:val="00C13E4D"/>
    <w:rsid w:val="00C13E7A"/>
    <w:rsid w:val="00C14554"/>
    <w:rsid w:val="00C145FC"/>
    <w:rsid w:val="00C14658"/>
    <w:rsid w:val="00C14C93"/>
    <w:rsid w:val="00C14D2C"/>
    <w:rsid w:val="00C14DCF"/>
    <w:rsid w:val="00C15387"/>
    <w:rsid w:val="00C163FA"/>
    <w:rsid w:val="00C164EA"/>
    <w:rsid w:val="00C165AA"/>
    <w:rsid w:val="00C16E99"/>
    <w:rsid w:val="00C17ACB"/>
    <w:rsid w:val="00C17C34"/>
    <w:rsid w:val="00C17C81"/>
    <w:rsid w:val="00C204E8"/>
    <w:rsid w:val="00C20B54"/>
    <w:rsid w:val="00C2113C"/>
    <w:rsid w:val="00C2113E"/>
    <w:rsid w:val="00C21160"/>
    <w:rsid w:val="00C216FF"/>
    <w:rsid w:val="00C22410"/>
    <w:rsid w:val="00C2241A"/>
    <w:rsid w:val="00C22461"/>
    <w:rsid w:val="00C225C4"/>
    <w:rsid w:val="00C226C0"/>
    <w:rsid w:val="00C22AE5"/>
    <w:rsid w:val="00C23105"/>
    <w:rsid w:val="00C237B5"/>
    <w:rsid w:val="00C23D52"/>
    <w:rsid w:val="00C23E7C"/>
    <w:rsid w:val="00C24101"/>
    <w:rsid w:val="00C24AEA"/>
    <w:rsid w:val="00C24F11"/>
    <w:rsid w:val="00C253E1"/>
    <w:rsid w:val="00C254DD"/>
    <w:rsid w:val="00C256C5"/>
    <w:rsid w:val="00C2664E"/>
    <w:rsid w:val="00C26706"/>
    <w:rsid w:val="00C26AC4"/>
    <w:rsid w:val="00C26C2D"/>
    <w:rsid w:val="00C26DB3"/>
    <w:rsid w:val="00C27101"/>
    <w:rsid w:val="00C27165"/>
    <w:rsid w:val="00C274A8"/>
    <w:rsid w:val="00C2751F"/>
    <w:rsid w:val="00C2752D"/>
    <w:rsid w:val="00C278B7"/>
    <w:rsid w:val="00C27AA9"/>
    <w:rsid w:val="00C3032E"/>
    <w:rsid w:val="00C30639"/>
    <w:rsid w:val="00C30FED"/>
    <w:rsid w:val="00C317D5"/>
    <w:rsid w:val="00C32250"/>
    <w:rsid w:val="00C32348"/>
    <w:rsid w:val="00C323E7"/>
    <w:rsid w:val="00C32A99"/>
    <w:rsid w:val="00C32B66"/>
    <w:rsid w:val="00C32F7B"/>
    <w:rsid w:val="00C32F8A"/>
    <w:rsid w:val="00C339DD"/>
    <w:rsid w:val="00C33EAA"/>
    <w:rsid w:val="00C341AA"/>
    <w:rsid w:val="00C34841"/>
    <w:rsid w:val="00C34EC9"/>
    <w:rsid w:val="00C352D9"/>
    <w:rsid w:val="00C355DD"/>
    <w:rsid w:val="00C35991"/>
    <w:rsid w:val="00C35A85"/>
    <w:rsid w:val="00C35EE5"/>
    <w:rsid w:val="00C3618C"/>
    <w:rsid w:val="00C362F5"/>
    <w:rsid w:val="00C36B35"/>
    <w:rsid w:val="00C36B39"/>
    <w:rsid w:val="00C36D3C"/>
    <w:rsid w:val="00C3705F"/>
    <w:rsid w:val="00C3793F"/>
    <w:rsid w:val="00C37A1A"/>
    <w:rsid w:val="00C37B54"/>
    <w:rsid w:val="00C4055B"/>
    <w:rsid w:val="00C40724"/>
    <w:rsid w:val="00C407B8"/>
    <w:rsid w:val="00C4094A"/>
    <w:rsid w:val="00C40D87"/>
    <w:rsid w:val="00C40DE3"/>
    <w:rsid w:val="00C411D8"/>
    <w:rsid w:val="00C4225A"/>
    <w:rsid w:val="00C4236C"/>
    <w:rsid w:val="00C423D7"/>
    <w:rsid w:val="00C42AD6"/>
    <w:rsid w:val="00C430D7"/>
    <w:rsid w:val="00C43303"/>
    <w:rsid w:val="00C4332C"/>
    <w:rsid w:val="00C43355"/>
    <w:rsid w:val="00C4414C"/>
    <w:rsid w:val="00C44DF4"/>
    <w:rsid w:val="00C45251"/>
    <w:rsid w:val="00C455C3"/>
    <w:rsid w:val="00C45C2F"/>
    <w:rsid w:val="00C45CBF"/>
    <w:rsid w:val="00C46258"/>
    <w:rsid w:val="00C462FD"/>
    <w:rsid w:val="00C46E01"/>
    <w:rsid w:val="00C46E5C"/>
    <w:rsid w:val="00C46E6C"/>
    <w:rsid w:val="00C470EC"/>
    <w:rsid w:val="00C477B5"/>
    <w:rsid w:val="00C478E0"/>
    <w:rsid w:val="00C50812"/>
    <w:rsid w:val="00C50F6A"/>
    <w:rsid w:val="00C51124"/>
    <w:rsid w:val="00C5146E"/>
    <w:rsid w:val="00C517DB"/>
    <w:rsid w:val="00C51AE0"/>
    <w:rsid w:val="00C51E6F"/>
    <w:rsid w:val="00C5201D"/>
    <w:rsid w:val="00C52C78"/>
    <w:rsid w:val="00C5315E"/>
    <w:rsid w:val="00C53714"/>
    <w:rsid w:val="00C53BF5"/>
    <w:rsid w:val="00C545F4"/>
    <w:rsid w:val="00C54955"/>
    <w:rsid w:val="00C54F68"/>
    <w:rsid w:val="00C55C91"/>
    <w:rsid w:val="00C55CA4"/>
    <w:rsid w:val="00C56220"/>
    <w:rsid w:val="00C5658E"/>
    <w:rsid w:val="00C5667A"/>
    <w:rsid w:val="00C56E54"/>
    <w:rsid w:val="00C5720B"/>
    <w:rsid w:val="00C5759D"/>
    <w:rsid w:val="00C57A4B"/>
    <w:rsid w:val="00C57F07"/>
    <w:rsid w:val="00C601F4"/>
    <w:rsid w:val="00C6040C"/>
    <w:rsid w:val="00C60620"/>
    <w:rsid w:val="00C60FBE"/>
    <w:rsid w:val="00C614CB"/>
    <w:rsid w:val="00C616F2"/>
    <w:rsid w:val="00C61832"/>
    <w:rsid w:val="00C61F2E"/>
    <w:rsid w:val="00C622C4"/>
    <w:rsid w:val="00C62A60"/>
    <w:rsid w:val="00C62D3E"/>
    <w:rsid w:val="00C62E4E"/>
    <w:rsid w:val="00C63131"/>
    <w:rsid w:val="00C63CF6"/>
    <w:rsid w:val="00C64827"/>
    <w:rsid w:val="00C64A07"/>
    <w:rsid w:val="00C64E73"/>
    <w:rsid w:val="00C65072"/>
    <w:rsid w:val="00C650C8"/>
    <w:rsid w:val="00C65190"/>
    <w:rsid w:val="00C65652"/>
    <w:rsid w:val="00C65F1B"/>
    <w:rsid w:val="00C6651B"/>
    <w:rsid w:val="00C66710"/>
    <w:rsid w:val="00C67151"/>
    <w:rsid w:val="00C67617"/>
    <w:rsid w:val="00C67E66"/>
    <w:rsid w:val="00C70424"/>
    <w:rsid w:val="00C70756"/>
    <w:rsid w:val="00C70835"/>
    <w:rsid w:val="00C70BD9"/>
    <w:rsid w:val="00C70BE8"/>
    <w:rsid w:val="00C70E2E"/>
    <w:rsid w:val="00C70E80"/>
    <w:rsid w:val="00C70EC8"/>
    <w:rsid w:val="00C71338"/>
    <w:rsid w:val="00C715A7"/>
    <w:rsid w:val="00C7189E"/>
    <w:rsid w:val="00C71DC4"/>
    <w:rsid w:val="00C7208C"/>
    <w:rsid w:val="00C72302"/>
    <w:rsid w:val="00C7232C"/>
    <w:rsid w:val="00C725FF"/>
    <w:rsid w:val="00C72625"/>
    <w:rsid w:val="00C7329A"/>
    <w:rsid w:val="00C73B69"/>
    <w:rsid w:val="00C73D18"/>
    <w:rsid w:val="00C73E64"/>
    <w:rsid w:val="00C7423A"/>
    <w:rsid w:val="00C743C6"/>
    <w:rsid w:val="00C74E89"/>
    <w:rsid w:val="00C75666"/>
    <w:rsid w:val="00C75A41"/>
    <w:rsid w:val="00C75FAA"/>
    <w:rsid w:val="00C7609B"/>
    <w:rsid w:val="00C7675F"/>
    <w:rsid w:val="00C769B6"/>
    <w:rsid w:val="00C76ADD"/>
    <w:rsid w:val="00C7764D"/>
    <w:rsid w:val="00C778C1"/>
    <w:rsid w:val="00C77D39"/>
    <w:rsid w:val="00C80076"/>
    <w:rsid w:val="00C803BF"/>
    <w:rsid w:val="00C80490"/>
    <w:rsid w:val="00C8049B"/>
    <w:rsid w:val="00C80B72"/>
    <w:rsid w:val="00C80F66"/>
    <w:rsid w:val="00C80F82"/>
    <w:rsid w:val="00C81383"/>
    <w:rsid w:val="00C813F8"/>
    <w:rsid w:val="00C8145C"/>
    <w:rsid w:val="00C814B6"/>
    <w:rsid w:val="00C816D7"/>
    <w:rsid w:val="00C82177"/>
    <w:rsid w:val="00C828C5"/>
    <w:rsid w:val="00C82E44"/>
    <w:rsid w:val="00C83261"/>
    <w:rsid w:val="00C83722"/>
    <w:rsid w:val="00C84132"/>
    <w:rsid w:val="00C8485E"/>
    <w:rsid w:val="00C84AFA"/>
    <w:rsid w:val="00C84C82"/>
    <w:rsid w:val="00C85815"/>
    <w:rsid w:val="00C85819"/>
    <w:rsid w:val="00C85F95"/>
    <w:rsid w:val="00C86D9C"/>
    <w:rsid w:val="00C86E60"/>
    <w:rsid w:val="00C90035"/>
    <w:rsid w:val="00C90401"/>
    <w:rsid w:val="00C90D75"/>
    <w:rsid w:val="00C914CF"/>
    <w:rsid w:val="00C917E8"/>
    <w:rsid w:val="00C91CCC"/>
    <w:rsid w:val="00C91D60"/>
    <w:rsid w:val="00C92607"/>
    <w:rsid w:val="00C9273A"/>
    <w:rsid w:val="00C928ED"/>
    <w:rsid w:val="00C92A74"/>
    <w:rsid w:val="00C92AFB"/>
    <w:rsid w:val="00C93280"/>
    <w:rsid w:val="00C93B9A"/>
    <w:rsid w:val="00C93C71"/>
    <w:rsid w:val="00C93EE0"/>
    <w:rsid w:val="00C93F43"/>
    <w:rsid w:val="00C94398"/>
    <w:rsid w:val="00C94E6F"/>
    <w:rsid w:val="00C95091"/>
    <w:rsid w:val="00C9577F"/>
    <w:rsid w:val="00C95EB8"/>
    <w:rsid w:val="00C95F31"/>
    <w:rsid w:val="00C96AD4"/>
    <w:rsid w:val="00C973A0"/>
    <w:rsid w:val="00C97B19"/>
    <w:rsid w:val="00C97ECD"/>
    <w:rsid w:val="00CA0B20"/>
    <w:rsid w:val="00CA108A"/>
    <w:rsid w:val="00CA1406"/>
    <w:rsid w:val="00CA1A04"/>
    <w:rsid w:val="00CA1DCD"/>
    <w:rsid w:val="00CA27F3"/>
    <w:rsid w:val="00CA2FD5"/>
    <w:rsid w:val="00CA3566"/>
    <w:rsid w:val="00CA418C"/>
    <w:rsid w:val="00CA53FB"/>
    <w:rsid w:val="00CA593E"/>
    <w:rsid w:val="00CA61C2"/>
    <w:rsid w:val="00CA6946"/>
    <w:rsid w:val="00CA721C"/>
    <w:rsid w:val="00CA7697"/>
    <w:rsid w:val="00CA777E"/>
    <w:rsid w:val="00CA7E84"/>
    <w:rsid w:val="00CB01D1"/>
    <w:rsid w:val="00CB03E9"/>
    <w:rsid w:val="00CB047E"/>
    <w:rsid w:val="00CB082C"/>
    <w:rsid w:val="00CB0F47"/>
    <w:rsid w:val="00CB18E9"/>
    <w:rsid w:val="00CB1999"/>
    <w:rsid w:val="00CB1BAB"/>
    <w:rsid w:val="00CB2049"/>
    <w:rsid w:val="00CB20B9"/>
    <w:rsid w:val="00CB2472"/>
    <w:rsid w:val="00CB248C"/>
    <w:rsid w:val="00CB265D"/>
    <w:rsid w:val="00CB2806"/>
    <w:rsid w:val="00CB37A3"/>
    <w:rsid w:val="00CB3B0A"/>
    <w:rsid w:val="00CB3C6C"/>
    <w:rsid w:val="00CB4335"/>
    <w:rsid w:val="00CB4689"/>
    <w:rsid w:val="00CB4986"/>
    <w:rsid w:val="00CB4BC3"/>
    <w:rsid w:val="00CB4D72"/>
    <w:rsid w:val="00CB4D84"/>
    <w:rsid w:val="00CB521B"/>
    <w:rsid w:val="00CB621E"/>
    <w:rsid w:val="00CB6BF0"/>
    <w:rsid w:val="00CB6C0E"/>
    <w:rsid w:val="00CB6C3C"/>
    <w:rsid w:val="00CB6D06"/>
    <w:rsid w:val="00CB7608"/>
    <w:rsid w:val="00CB7D6A"/>
    <w:rsid w:val="00CC00BA"/>
    <w:rsid w:val="00CC0356"/>
    <w:rsid w:val="00CC0528"/>
    <w:rsid w:val="00CC0A63"/>
    <w:rsid w:val="00CC0CD5"/>
    <w:rsid w:val="00CC0DBB"/>
    <w:rsid w:val="00CC11C2"/>
    <w:rsid w:val="00CC1209"/>
    <w:rsid w:val="00CC1A4C"/>
    <w:rsid w:val="00CC1A5B"/>
    <w:rsid w:val="00CC1BF4"/>
    <w:rsid w:val="00CC32F0"/>
    <w:rsid w:val="00CC3AA0"/>
    <w:rsid w:val="00CC3E83"/>
    <w:rsid w:val="00CC3F9C"/>
    <w:rsid w:val="00CC41A9"/>
    <w:rsid w:val="00CC468C"/>
    <w:rsid w:val="00CC479C"/>
    <w:rsid w:val="00CC48C5"/>
    <w:rsid w:val="00CC5618"/>
    <w:rsid w:val="00CC5FA8"/>
    <w:rsid w:val="00CC64E7"/>
    <w:rsid w:val="00CC6818"/>
    <w:rsid w:val="00CC6C5F"/>
    <w:rsid w:val="00CC72E1"/>
    <w:rsid w:val="00CC7B5C"/>
    <w:rsid w:val="00CC7EEC"/>
    <w:rsid w:val="00CD04FA"/>
    <w:rsid w:val="00CD053B"/>
    <w:rsid w:val="00CD08EC"/>
    <w:rsid w:val="00CD0A1D"/>
    <w:rsid w:val="00CD1238"/>
    <w:rsid w:val="00CD190C"/>
    <w:rsid w:val="00CD24F9"/>
    <w:rsid w:val="00CD2B6F"/>
    <w:rsid w:val="00CD2BEC"/>
    <w:rsid w:val="00CD3C6D"/>
    <w:rsid w:val="00CD3F60"/>
    <w:rsid w:val="00CD46F5"/>
    <w:rsid w:val="00CD473B"/>
    <w:rsid w:val="00CD4F49"/>
    <w:rsid w:val="00CD5078"/>
    <w:rsid w:val="00CD5743"/>
    <w:rsid w:val="00CD57C9"/>
    <w:rsid w:val="00CD5C67"/>
    <w:rsid w:val="00CD5ED7"/>
    <w:rsid w:val="00CD6313"/>
    <w:rsid w:val="00CD6453"/>
    <w:rsid w:val="00CD67CD"/>
    <w:rsid w:val="00CD69BA"/>
    <w:rsid w:val="00CD70D1"/>
    <w:rsid w:val="00CD7273"/>
    <w:rsid w:val="00CD749A"/>
    <w:rsid w:val="00CD7595"/>
    <w:rsid w:val="00CD7857"/>
    <w:rsid w:val="00CD7F8C"/>
    <w:rsid w:val="00CE0A37"/>
    <w:rsid w:val="00CE245E"/>
    <w:rsid w:val="00CE292D"/>
    <w:rsid w:val="00CE3141"/>
    <w:rsid w:val="00CE35BA"/>
    <w:rsid w:val="00CE3C96"/>
    <w:rsid w:val="00CE3DDD"/>
    <w:rsid w:val="00CE3E7E"/>
    <w:rsid w:val="00CE3F5E"/>
    <w:rsid w:val="00CE4141"/>
    <w:rsid w:val="00CE4154"/>
    <w:rsid w:val="00CE4406"/>
    <w:rsid w:val="00CE44AF"/>
    <w:rsid w:val="00CE59FE"/>
    <w:rsid w:val="00CE6EEA"/>
    <w:rsid w:val="00CE7009"/>
    <w:rsid w:val="00CE712B"/>
    <w:rsid w:val="00CE743C"/>
    <w:rsid w:val="00CE7C08"/>
    <w:rsid w:val="00CF0AAA"/>
    <w:rsid w:val="00CF0C02"/>
    <w:rsid w:val="00CF1671"/>
    <w:rsid w:val="00CF1EC7"/>
    <w:rsid w:val="00CF2199"/>
    <w:rsid w:val="00CF22BF"/>
    <w:rsid w:val="00CF23C3"/>
    <w:rsid w:val="00CF24E7"/>
    <w:rsid w:val="00CF251C"/>
    <w:rsid w:val="00CF25A5"/>
    <w:rsid w:val="00CF2D59"/>
    <w:rsid w:val="00CF2E98"/>
    <w:rsid w:val="00CF306A"/>
    <w:rsid w:val="00CF3182"/>
    <w:rsid w:val="00CF3279"/>
    <w:rsid w:val="00CF32C2"/>
    <w:rsid w:val="00CF3313"/>
    <w:rsid w:val="00CF370A"/>
    <w:rsid w:val="00CF432B"/>
    <w:rsid w:val="00CF444B"/>
    <w:rsid w:val="00CF4797"/>
    <w:rsid w:val="00CF492A"/>
    <w:rsid w:val="00CF4B44"/>
    <w:rsid w:val="00CF4C4C"/>
    <w:rsid w:val="00CF4E56"/>
    <w:rsid w:val="00CF4E5D"/>
    <w:rsid w:val="00CF55A0"/>
    <w:rsid w:val="00CF6112"/>
    <w:rsid w:val="00CF63CE"/>
    <w:rsid w:val="00CF75CA"/>
    <w:rsid w:val="00CF7C93"/>
    <w:rsid w:val="00D001A4"/>
    <w:rsid w:val="00D0049C"/>
    <w:rsid w:val="00D0063B"/>
    <w:rsid w:val="00D00951"/>
    <w:rsid w:val="00D01671"/>
    <w:rsid w:val="00D01B2A"/>
    <w:rsid w:val="00D01BC9"/>
    <w:rsid w:val="00D01D20"/>
    <w:rsid w:val="00D0332D"/>
    <w:rsid w:val="00D0338B"/>
    <w:rsid w:val="00D036BC"/>
    <w:rsid w:val="00D03F94"/>
    <w:rsid w:val="00D04160"/>
    <w:rsid w:val="00D0430C"/>
    <w:rsid w:val="00D043E4"/>
    <w:rsid w:val="00D04B70"/>
    <w:rsid w:val="00D04C2C"/>
    <w:rsid w:val="00D05151"/>
    <w:rsid w:val="00D059BD"/>
    <w:rsid w:val="00D06352"/>
    <w:rsid w:val="00D06631"/>
    <w:rsid w:val="00D0690E"/>
    <w:rsid w:val="00D06AB5"/>
    <w:rsid w:val="00D06CCF"/>
    <w:rsid w:val="00D0713F"/>
    <w:rsid w:val="00D07385"/>
    <w:rsid w:val="00D0761D"/>
    <w:rsid w:val="00D10584"/>
    <w:rsid w:val="00D10993"/>
    <w:rsid w:val="00D10DA5"/>
    <w:rsid w:val="00D11649"/>
    <w:rsid w:val="00D11D4A"/>
    <w:rsid w:val="00D11DB0"/>
    <w:rsid w:val="00D11E7C"/>
    <w:rsid w:val="00D11FEB"/>
    <w:rsid w:val="00D122A2"/>
    <w:rsid w:val="00D122C5"/>
    <w:rsid w:val="00D12581"/>
    <w:rsid w:val="00D12723"/>
    <w:rsid w:val="00D1278E"/>
    <w:rsid w:val="00D12CB9"/>
    <w:rsid w:val="00D12E44"/>
    <w:rsid w:val="00D13198"/>
    <w:rsid w:val="00D14226"/>
    <w:rsid w:val="00D14CC8"/>
    <w:rsid w:val="00D15221"/>
    <w:rsid w:val="00D15942"/>
    <w:rsid w:val="00D15AB8"/>
    <w:rsid w:val="00D16013"/>
    <w:rsid w:val="00D162F8"/>
    <w:rsid w:val="00D16335"/>
    <w:rsid w:val="00D1657F"/>
    <w:rsid w:val="00D1660E"/>
    <w:rsid w:val="00D1667C"/>
    <w:rsid w:val="00D16C02"/>
    <w:rsid w:val="00D16F9B"/>
    <w:rsid w:val="00D177F8"/>
    <w:rsid w:val="00D17985"/>
    <w:rsid w:val="00D2055E"/>
    <w:rsid w:val="00D2084A"/>
    <w:rsid w:val="00D20CD7"/>
    <w:rsid w:val="00D21200"/>
    <w:rsid w:val="00D212BA"/>
    <w:rsid w:val="00D21B4B"/>
    <w:rsid w:val="00D21DDA"/>
    <w:rsid w:val="00D21EBF"/>
    <w:rsid w:val="00D22121"/>
    <w:rsid w:val="00D22A02"/>
    <w:rsid w:val="00D22A44"/>
    <w:rsid w:val="00D22B4E"/>
    <w:rsid w:val="00D22D3A"/>
    <w:rsid w:val="00D23259"/>
    <w:rsid w:val="00D233FD"/>
    <w:rsid w:val="00D234DA"/>
    <w:rsid w:val="00D236AA"/>
    <w:rsid w:val="00D23804"/>
    <w:rsid w:val="00D23873"/>
    <w:rsid w:val="00D239AD"/>
    <w:rsid w:val="00D2433C"/>
    <w:rsid w:val="00D24F11"/>
    <w:rsid w:val="00D252B3"/>
    <w:rsid w:val="00D25816"/>
    <w:rsid w:val="00D26308"/>
    <w:rsid w:val="00D2639B"/>
    <w:rsid w:val="00D263FD"/>
    <w:rsid w:val="00D266B1"/>
    <w:rsid w:val="00D2697B"/>
    <w:rsid w:val="00D27408"/>
    <w:rsid w:val="00D276DD"/>
    <w:rsid w:val="00D279D1"/>
    <w:rsid w:val="00D27A2F"/>
    <w:rsid w:val="00D27A33"/>
    <w:rsid w:val="00D3024B"/>
    <w:rsid w:val="00D30361"/>
    <w:rsid w:val="00D304E2"/>
    <w:rsid w:val="00D306FC"/>
    <w:rsid w:val="00D30C12"/>
    <w:rsid w:val="00D30E68"/>
    <w:rsid w:val="00D3102F"/>
    <w:rsid w:val="00D31159"/>
    <w:rsid w:val="00D318B2"/>
    <w:rsid w:val="00D31D24"/>
    <w:rsid w:val="00D31F76"/>
    <w:rsid w:val="00D32227"/>
    <w:rsid w:val="00D32323"/>
    <w:rsid w:val="00D325ED"/>
    <w:rsid w:val="00D32A10"/>
    <w:rsid w:val="00D32A28"/>
    <w:rsid w:val="00D32A3D"/>
    <w:rsid w:val="00D330E8"/>
    <w:rsid w:val="00D331C1"/>
    <w:rsid w:val="00D33245"/>
    <w:rsid w:val="00D33436"/>
    <w:rsid w:val="00D33546"/>
    <w:rsid w:val="00D338DD"/>
    <w:rsid w:val="00D34B4E"/>
    <w:rsid w:val="00D34EB7"/>
    <w:rsid w:val="00D34FAD"/>
    <w:rsid w:val="00D34FD2"/>
    <w:rsid w:val="00D35432"/>
    <w:rsid w:val="00D35643"/>
    <w:rsid w:val="00D35D6A"/>
    <w:rsid w:val="00D36047"/>
    <w:rsid w:val="00D3691F"/>
    <w:rsid w:val="00D36DB7"/>
    <w:rsid w:val="00D37999"/>
    <w:rsid w:val="00D37AE3"/>
    <w:rsid w:val="00D4001D"/>
    <w:rsid w:val="00D40773"/>
    <w:rsid w:val="00D408F3"/>
    <w:rsid w:val="00D40D99"/>
    <w:rsid w:val="00D4139E"/>
    <w:rsid w:val="00D414E7"/>
    <w:rsid w:val="00D41914"/>
    <w:rsid w:val="00D42651"/>
    <w:rsid w:val="00D429BC"/>
    <w:rsid w:val="00D42B88"/>
    <w:rsid w:val="00D42BA9"/>
    <w:rsid w:val="00D42EF8"/>
    <w:rsid w:val="00D43071"/>
    <w:rsid w:val="00D432E1"/>
    <w:rsid w:val="00D4381E"/>
    <w:rsid w:val="00D43A8A"/>
    <w:rsid w:val="00D43C89"/>
    <w:rsid w:val="00D4469E"/>
    <w:rsid w:val="00D44A45"/>
    <w:rsid w:val="00D44EE6"/>
    <w:rsid w:val="00D45085"/>
    <w:rsid w:val="00D451CC"/>
    <w:rsid w:val="00D458CB"/>
    <w:rsid w:val="00D45AF7"/>
    <w:rsid w:val="00D463DE"/>
    <w:rsid w:val="00D463F8"/>
    <w:rsid w:val="00D4660C"/>
    <w:rsid w:val="00D4712D"/>
    <w:rsid w:val="00D474A9"/>
    <w:rsid w:val="00D47C5C"/>
    <w:rsid w:val="00D47CDC"/>
    <w:rsid w:val="00D50A18"/>
    <w:rsid w:val="00D50DC1"/>
    <w:rsid w:val="00D516B4"/>
    <w:rsid w:val="00D5171B"/>
    <w:rsid w:val="00D51857"/>
    <w:rsid w:val="00D5205C"/>
    <w:rsid w:val="00D5334B"/>
    <w:rsid w:val="00D539A2"/>
    <w:rsid w:val="00D54066"/>
    <w:rsid w:val="00D5416F"/>
    <w:rsid w:val="00D545B4"/>
    <w:rsid w:val="00D54D56"/>
    <w:rsid w:val="00D5544A"/>
    <w:rsid w:val="00D55BC7"/>
    <w:rsid w:val="00D55EBA"/>
    <w:rsid w:val="00D562C8"/>
    <w:rsid w:val="00D56350"/>
    <w:rsid w:val="00D56A77"/>
    <w:rsid w:val="00D56F31"/>
    <w:rsid w:val="00D570B6"/>
    <w:rsid w:val="00D571AF"/>
    <w:rsid w:val="00D57445"/>
    <w:rsid w:val="00D57EE0"/>
    <w:rsid w:val="00D601C4"/>
    <w:rsid w:val="00D606F3"/>
    <w:rsid w:val="00D607CF"/>
    <w:rsid w:val="00D61F49"/>
    <w:rsid w:val="00D622C8"/>
    <w:rsid w:val="00D626F1"/>
    <w:rsid w:val="00D62D77"/>
    <w:rsid w:val="00D6309E"/>
    <w:rsid w:val="00D630A6"/>
    <w:rsid w:val="00D6314A"/>
    <w:rsid w:val="00D63644"/>
    <w:rsid w:val="00D636CC"/>
    <w:rsid w:val="00D63767"/>
    <w:rsid w:val="00D6381A"/>
    <w:rsid w:val="00D643F4"/>
    <w:rsid w:val="00D646F3"/>
    <w:rsid w:val="00D64749"/>
    <w:rsid w:val="00D64771"/>
    <w:rsid w:val="00D64E0D"/>
    <w:rsid w:val="00D64F9E"/>
    <w:rsid w:val="00D65A88"/>
    <w:rsid w:val="00D65BA1"/>
    <w:rsid w:val="00D66977"/>
    <w:rsid w:val="00D66FB4"/>
    <w:rsid w:val="00D6733D"/>
    <w:rsid w:val="00D676D3"/>
    <w:rsid w:val="00D679FC"/>
    <w:rsid w:val="00D700E1"/>
    <w:rsid w:val="00D7095B"/>
    <w:rsid w:val="00D70A63"/>
    <w:rsid w:val="00D7132F"/>
    <w:rsid w:val="00D714B0"/>
    <w:rsid w:val="00D7152F"/>
    <w:rsid w:val="00D715E3"/>
    <w:rsid w:val="00D71B40"/>
    <w:rsid w:val="00D7203D"/>
    <w:rsid w:val="00D721E9"/>
    <w:rsid w:val="00D72784"/>
    <w:rsid w:val="00D727BB"/>
    <w:rsid w:val="00D72946"/>
    <w:rsid w:val="00D72AC8"/>
    <w:rsid w:val="00D72E5C"/>
    <w:rsid w:val="00D730B5"/>
    <w:rsid w:val="00D731C6"/>
    <w:rsid w:val="00D7334B"/>
    <w:rsid w:val="00D7341F"/>
    <w:rsid w:val="00D73CCC"/>
    <w:rsid w:val="00D74914"/>
    <w:rsid w:val="00D74DC7"/>
    <w:rsid w:val="00D752F4"/>
    <w:rsid w:val="00D754A1"/>
    <w:rsid w:val="00D7574F"/>
    <w:rsid w:val="00D76262"/>
    <w:rsid w:val="00D765A9"/>
    <w:rsid w:val="00D766D0"/>
    <w:rsid w:val="00D77118"/>
    <w:rsid w:val="00D7770C"/>
    <w:rsid w:val="00D77CB2"/>
    <w:rsid w:val="00D8005E"/>
    <w:rsid w:val="00D8018C"/>
    <w:rsid w:val="00D8034B"/>
    <w:rsid w:val="00D804E9"/>
    <w:rsid w:val="00D8067A"/>
    <w:rsid w:val="00D80A07"/>
    <w:rsid w:val="00D80AB2"/>
    <w:rsid w:val="00D814A0"/>
    <w:rsid w:val="00D81722"/>
    <w:rsid w:val="00D8244C"/>
    <w:rsid w:val="00D824DE"/>
    <w:rsid w:val="00D82BAD"/>
    <w:rsid w:val="00D83327"/>
    <w:rsid w:val="00D833FD"/>
    <w:rsid w:val="00D8365C"/>
    <w:rsid w:val="00D83763"/>
    <w:rsid w:val="00D83B68"/>
    <w:rsid w:val="00D83B98"/>
    <w:rsid w:val="00D83EAA"/>
    <w:rsid w:val="00D84131"/>
    <w:rsid w:val="00D84213"/>
    <w:rsid w:val="00D848CB"/>
    <w:rsid w:val="00D84A9E"/>
    <w:rsid w:val="00D84C77"/>
    <w:rsid w:val="00D85020"/>
    <w:rsid w:val="00D85296"/>
    <w:rsid w:val="00D853AF"/>
    <w:rsid w:val="00D85700"/>
    <w:rsid w:val="00D85F48"/>
    <w:rsid w:val="00D860FA"/>
    <w:rsid w:val="00D86458"/>
    <w:rsid w:val="00D87C48"/>
    <w:rsid w:val="00D87E8C"/>
    <w:rsid w:val="00D90041"/>
    <w:rsid w:val="00D902BF"/>
    <w:rsid w:val="00D90D95"/>
    <w:rsid w:val="00D911C1"/>
    <w:rsid w:val="00D91243"/>
    <w:rsid w:val="00D91C5A"/>
    <w:rsid w:val="00D92705"/>
    <w:rsid w:val="00D927D0"/>
    <w:rsid w:val="00D92A60"/>
    <w:rsid w:val="00D9300A"/>
    <w:rsid w:val="00D931C1"/>
    <w:rsid w:val="00D9343F"/>
    <w:rsid w:val="00D936D3"/>
    <w:rsid w:val="00D94197"/>
    <w:rsid w:val="00D94671"/>
    <w:rsid w:val="00D94A7F"/>
    <w:rsid w:val="00D94DEB"/>
    <w:rsid w:val="00D950BF"/>
    <w:rsid w:val="00D95104"/>
    <w:rsid w:val="00D95298"/>
    <w:rsid w:val="00D9565A"/>
    <w:rsid w:val="00D956FE"/>
    <w:rsid w:val="00D96907"/>
    <w:rsid w:val="00D9720F"/>
    <w:rsid w:val="00D9722A"/>
    <w:rsid w:val="00D97516"/>
    <w:rsid w:val="00D975D3"/>
    <w:rsid w:val="00D976FE"/>
    <w:rsid w:val="00D977A4"/>
    <w:rsid w:val="00D9795D"/>
    <w:rsid w:val="00D97C7C"/>
    <w:rsid w:val="00D97F68"/>
    <w:rsid w:val="00DA01B7"/>
    <w:rsid w:val="00DA0592"/>
    <w:rsid w:val="00DA0C0F"/>
    <w:rsid w:val="00DA0C6F"/>
    <w:rsid w:val="00DA187D"/>
    <w:rsid w:val="00DA1E49"/>
    <w:rsid w:val="00DA1F4F"/>
    <w:rsid w:val="00DA24B8"/>
    <w:rsid w:val="00DA2A46"/>
    <w:rsid w:val="00DA344C"/>
    <w:rsid w:val="00DA3498"/>
    <w:rsid w:val="00DA382B"/>
    <w:rsid w:val="00DA41A9"/>
    <w:rsid w:val="00DA4253"/>
    <w:rsid w:val="00DA4ACC"/>
    <w:rsid w:val="00DA51E2"/>
    <w:rsid w:val="00DA5567"/>
    <w:rsid w:val="00DA5CA4"/>
    <w:rsid w:val="00DA5F1A"/>
    <w:rsid w:val="00DA6520"/>
    <w:rsid w:val="00DA6990"/>
    <w:rsid w:val="00DA6DAA"/>
    <w:rsid w:val="00DA721F"/>
    <w:rsid w:val="00DA74D8"/>
    <w:rsid w:val="00DA78F0"/>
    <w:rsid w:val="00DA7D11"/>
    <w:rsid w:val="00DA7E72"/>
    <w:rsid w:val="00DA7E99"/>
    <w:rsid w:val="00DB0B9F"/>
    <w:rsid w:val="00DB0C8C"/>
    <w:rsid w:val="00DB0F3D"/>
    <w:rsid w:val="00DB0FFD"/>
    <w:rsid w:val="00DB1F7D"/>
    <w:rsid w:val="00DB2308"/>
    <w:rsid w:val="00DB2540"/>
    <w:rsid w:val="00DB2586"/>
    <w:rsid w:val="00DB2AB9"/>
    <w:rsid w:val="00DB33CB"/>
    <w:rsid w:val="00DB33E6"/>
    <w:rsid w:val="00DB3E3D"/>
    <w:rsid w:val="00DB3FAB"/>
    <w:rsid w:val="00DB43FA"/>
    <w:rsid w:val="00DB4F20"/>
    <w:rsid w:val="00DB5192"/>
    <w:rsid w:val="00DB5453"/>
    <w:rsid w:val="00DB6110"/>
    <w:rsid w:val="00DB6706"/>
    <w:rsid w:val="00DB6A52"/>
    <w:rsid w:val="00DB7221"/>
    <w:rsid w:val="00DB77E8"/>
    <w:rsid w:val="00DB7C73"/>
    <w:rsid w:val="00DB7F32"/>
    <w:rsid w:val="00DC0B5B"/>
    <w:rsid w:val="00DC1063"/>
    <w:rsid w:val="00DC1A12"/>
    <w:rsid w:val="00DC200D"/>
    <w:rsid w:val="00DC2420"/>
    <w:rsid w:val="00DC2634"/>
    <w:rsid w:val="00DC2C7B"/>
    <w:rsid w:val="00DC3CF7"/>
    <w:rsid w:val="00DC3E2B"/>
    <w:rsid w:val="00DC3EC9"/>
    <w:rsid w:val="00DC42C4"/>
    <w:rsid w:val="00DC4DB9"/>
    <w:rsid w:val="00DC4DF3"/>
    <w:rsid w:val="00DC5004"/>
    <w:rsid w:val="00DC5171"/>
    <w:rsid w:val="00DC545A"/>
    <w:rsid w:val="00DC5B25"/>
    <w:rsid w:val="00DC62EC"/>
    <w:rsid w:val="00DC635D"/>
    <w:rsid w:val="00DC6508"/>
    <w:rsid w:val="00DC675A"/>
    <w:rsid w:val="00DC686F"/>
    <w:rsid w:val="00DC6934"/>
    <w:rsid w:val="00DC6C08"/>
    <w:rsid w:val="00DC6D2C"/>
    <w:rsid w:val="00DC6F04"/>
    <w:rsid w:val="00DC766C"/>
    <w:rsid w:val="00DC7835"/>
    <w:rsid w:val="00DD0051"/>
    <w:rsid w:val="00DD0822"/>
    <w:rsid w:val="00DD0847"/>
    <w:rsid w:val="00DD0D7A"/>
    <w:rsid w:val="00DD12A7"/>
    <w:rsid w:val="00DD199B"/>
    <w:rsid w:val="00DD1EA3"/>
    <w:rsid w:val="00DD29F2"/>
    <w:rsid w:val="00DD3090"/>
    <w:rsid w:val="00DD33C3"/>
    <w:rsid w:val="00DD3482"/>
    <w:rsid w:val="00DD3731"/>
    <w:rsid w:val="00DD3BF9"/>
    <w:rsid w:val="00DD44A3"/>
    <w:rsid w:val="00DD48D8"/>
    <w:rsid w:val="00DD50D8"/>
    <w:rsid w:val="00DD51B7"/>
    <w:rsid w:val="00DD52EF"/>
    <w:rsid w:val="00DD58CE"/>
    <w:rsid w:val="00DD5C79"/>
    <w:rsid w:val="00DD65EE"/>
    <w:rsid w:val="00DD6AE2"/>
    <w:rsid w:val="00DD6B45"/>
    <w:rsid w:val="00DD729A"/>
    <w:rsid w:val="00DD7A4D"/>
    <w:rsid w:val="00DD7B65"/>
    <w:rsid w:val="00DD7F15"/>
    <w:rsid w:val="00DE07E1"/>
    <w:rsid w:val="00DE0C30"/>
    <w:rsid w:val="00DE1956"/>
    <w:rsid w:val="00DE1AB2"/>
    <w:rsid w:val="00DE1B42"/>
    <w:rsid w:val="00DE1D96"/>
    <w:rsid w:val="00DE2664"/>
    <w:rsid w:val="00DE27DF"/>
    <w:rsid w:val="00DE2D83"/>
    <w:rsid w:val="00DE2F70"/>
    <w:rsid w:val="00DE2F72"/>
    <w:rsid w:val="00DE3585"/>
    <w:rsid w:val="00DE3735"/>
    <w:rsid w:val="00DE38D3"/>
    <w:rsid w:val="00DE3B05"/>
    <w:rsid w:val="00DE3C62"/>
    <w:rsid w:val="00DE4A8F"/>
    <w:rsid w:val="00DE507A"/>
    <w:rsid w:val="00DE56B6"/>
    <w:rsid w:val="00DE5845"/>
    <w:rsid w:val="00DE58D4"/>
    <w:rsid w:val="00DE620A"/>
    <w:rsid w:val="00DE655F"/>
    <w:rsid w:val="00DE674A"/>
    <w:rsid w:val="00DE7304"/>
    <w:rsid w:val="00DE796E"/>
    <w:rsid w:val="00DF0150"/>
    <w:rsid w:val="00DF06B8"/>
    <w:rsid w:val="00DF096C"/>
    <w:rsid w:val="00DF0FA2"/>
    <w:rsid w:val="00DF11A8"/>
    <w:rsid w:val="00DF1722"/>
    <w:rsid w:val="00DF172C"/>
    <w:rsid w:val="00DF1785"/>
    <w:rsid w:val="00DF246C"/>
    <w:rsid w:val="00DF2772"/>
    <w:rsid w:val="00DF295A"/>
    <w:rsid w:val="00DF3541"/>
    <w:rsid w:val="00DF3DF3"/>
    <w:rsid w:val="00DF417F"/>
    <w:rsid w:val="00DF4332"/>
    <w:rsid w:val="00DF46EC"/>
    <w:rsid w:val="00DF4BBC"/>
    <w:rsid w:val="00DF5610"/>
    <w:rsid w:val="00DF584F"/>
    <w:rsid w:val="00DF61CF"/>
    <w:rsid w:val="00DF66C7"/>
    <w:rsid w:val="00DF66CE"/>
    <w:rsid w:val="00DF6CEB"/>
    <w:rsid w:val="00DF6D8F"/>
    <w:rsid w:val="00DF6ECA"/>
    <w:rsid w:val="00DF7865"/>
    <w:rsid w:val="00DF79BA"/>
    <w:rsid w:val="00DF7B92"/>
    <w:rsid w:val="00E003E7"/>
    <w:rsid w:val="00E003EC"/>
    <w:rsid w:val="00E01F8D"/>
    <w:rsid w:val="00E0254C"/>
    <w:rsid w:val="00E025FB"/>
    <w:rsid w:val="00E02807"/>
    <w:rsid w:val="00E02E68"/>
    <w:rsid w:val="00E02F6D"/>
    <w:rsid w:val="00E0331B"/>
    <w:rsid w:val="00E0386E"/>
    <w:rsid w:val="00E03C93"/>
    <w:rsid w:val="00E03D29"/>
    <w:rsid w:val="00E0415F"/>
    <w:rsid w:val="00E047E1"/>
    <w:rsid w:val="00E05240"/>
    <w:rsid w:val="00E055EB"/>
    <w:rsid w:val="00E0561E"/>
    <w:rsid w:val="00E05843"/>
    <w:rsid w:val="00E058AA"/>
    <w:rsid w:val="00E0657B"/>
    <w:rsid w:val="00E06BD4"/>
    <w:rsid w:val="00E06C14"/>
    <w:rsid w:val="00E06C62"/>
    <w:rsid w:val="00E073C6"/>
    <w:rsid w:val="00E074C0"/>
    <w:rsid w:val="00E0767F"/>
    <w:rsid w:val="00E0798C"/>
    <w:rsid w:val="00E07B7A"/>
    <w:rsid w:val="00E1064B"/>
    <w:rsid w:val="00E10C24"/>
    <w:rsid w:val="00E10FEC"/>
    <w:rsid w:val="00E11025"/>
    <w:rsid w:val="00E12014"/>
    <w:rsid w:val="00E1211F"/>
    <w:rsid w:val="00E1249D"/>
    <w:rsid w:val="00E128E3"/>
    <w:rsid w:val="00E12B5F"/>
    <w:rsid w:val="00E12CED"/>
    <w:rsid w:val="00E130AC"/>
    <w:rsid w:val="00E133C1"/>
    <w:rsid w:val="00E13FE1"/>
    <w:rsid w:val="00E14163"/>
    <w:rsid w:val="00E14C62"/>
    <w:rsid w:val="00E14C78"/>
    <w:rsid w:val="00E14D04"/>
    <w:rsid w:val="00E14DAB"/>
    <w:rsid w:val="00E151E5"/>
    <w:rsid w:val="00E152A9"/>
    <w:rsid w:val="00E153A4"/>
    <w:rsid w:val="00E1587F"/>
    <w:rsid w:val="00E15E7A"/>
    <w:rsid w:val="00E16271"/>
    <w:rsid w:val="00E1639D"/>
    <w:rsid w:val="00E163A0"/>
    <w:rsid w:val="00E16766"/>
    <w:rsid w:val="00E16806"/>
    <w:rsid w:val="00E16A2F"/>
    <w:rsid w:val="00E16E01"/>
    <w:rsid w:val="00E17000"/>
    <w:rsid w:val="00E17410"/>
    <w:rsid w:val="00E177DC"/>
    <w:rsid w:val="00E17BF0"/>
    <w:rsid w:val="00E20289"/>
    <w:rsid w:val="00E2032D"/>
    <w:rsid w:val="00E20F90"/>
    <w:rsid w:val="00E213EE"/>
    <w:rsid w:val="00E214A8"/>
    <w:rsid w:val="00E21CB5"/>
    <w:rsid w:val="00E21CFF"/>
    <w:rsid w:val="00E21D04"/>
    <w:rsid w:val="00E22257"/>
    <w:rsid w:val="00E2235F"/>
    <w:rsid w:val="00E227F9"/>
    <w:rsid w:val="00E22F99"/>
    <w:rsid w:val="00E23040"/>
    <w:rsid w:val="00E2310D"/>
    <w:rsid w:val="00E23142"/>
    <w:rsid w:val="00E232DC"/>
    <w:rsid w:val="00E237E2"/>
    <w:rsid w:val="00E24433"/>
    <w:rsid w:val="00E24501"/>
    <w:rsid w:val="00E2453C"/>
    <w:rsid w:val="00E24E35"/>
    <w:rsid w:val="00E254BD"/>
    <w:rsid w:val="00E262E5"/>
    <w:rsid w:val="00E26312"/>
    <w:rsid w:val="00E26E68"/>
    <w:rsid w:val="00E2706C"/>
    <w:rsid w:val="00E27502"/>
    <w:rsid w:val="00E30195"/>
    <w:rsid w:val="00E308AD"/>
    <w:rsid w:val="00E3175F"/>
    <w:rsid w:val="00E31A13"/>
    <w:rsid w:val="00E31AFF"/>
    <w:rsid w:val="00E31C66"/>
    <w:rsid w:val="00E31E95"/>
    <w:rsid w:val="00E330F3"/>
    <w:rsid w:val="00E33791"/>
    <w:rsid w:val="00E33D35"/>
    <w:rsid w:val="00E3413F"/>
    <w:rsid w:val="00E34726"/>
    <w:rsid w:val="00E34AE9"/>
    <w:rsid w:val="00E34BCB"/>
    <w:rsid w:val="00E350CC"/>
    <w:rsid w:val="00E3511D"/>
    <w:rsid w:val="00E356CD"/>
    <w:rsid w:val="00E35E5C"/>
    <w:rsid w:val="00E3699B"/>
    <w:rsid w:val="00E36F7A"/>
    <w:rsid w:val="00E37064"/>
    <w:rsid w:val="00E373E8"/>
    <w:rsid w:val="00E3743F"/>
    <w:rsid w:val="00E375EC"/>
    <w:rsid w:val="00E37F0D"/>
    <w:rsid w:val="00E403F0"/>
    <w:rsid w:val="00E407F8"/>
    <w:rsid w:val="00E40A04"/>
    <w:rsid w:val="00E40D69"/>
    <w:rsid w:val="00E40D83"/>
    <w:rsid w:val="00E40D8D"/>
    <w:rsid w:val="00E40E9A"/>
    <w:rsid w:val="00E40ED4"/>
    <w:rsid w:val="00E40ED6"/>
    <w:rsid w:val="00E40FB9"/>
    <w:rsid w:val="00E413AE"/>
    <w:rsid w:val="00E41482"/>
    <w:rsid w:val="00E419E5"/>
    <w:rsid w:val="00E41AAD"/>
    <w:rsid w:val="00E41AAE"/>
    <w:rsid w:val="00E41BB7"/>
    <w:rsid w:val="00E42284"/>
    <w:rsid w:val="00E42CA6"/>
    <w:rsid w:val="00E431F2"/>
    <w:rsid w:val="00E4359F"/>
    <w:rsid w:val="00E437CF"/>
    <w:rsid w:val="00E437E7"/>
    <w:rsid w:val="00E43B04"/>
    <w:rsid w:val="00E43F13"/>
    <w:rsid w:val="00E44955"/>
    <w:rsid w:val="00E45599"/>
    <w:rsid w:val="00E45832"/>
    <w:rsid w:val="00E45C1A"/>
    <w:rsid w:val="00E45E83"/>
    <w:rsid w:val="00E465F8"/>
    <w:rsid w:val="00E46621"/>
    <w:rsid w:val="00E46A77"/>
    <w:rsid w:val="00E46B05"/>
    <w:rsid w:val="00E47B2B"/>
    <w:rsid w:val="00E47BCF"/>
    <w:rsid w:val="00E509F2"/>
    <w:rsid w:val="00E50A38"/>
    <w:rsid w:val="00E5178E"/>
    <w:rsid w:val="00E517BC"/>
    <w:rsid w:val="00E51AE0"/>
    <w:rsid w:val="00E5202E"/>
    <w:rsid w:val="00E52A8A"/>
    <w:rsid w:val="00E52BF1"/>
    <w:rsid w:val="00E5312B"/>
    <w:rsid w:val="00E536D7"/>
    <w:rsid w:val="00E5417A"/>
    <w:rsid w:val="00E541BB"/>
    <w:rsid w:val="00E543DC"/>
    <w:rsid w:val="00E54853"/>
    <w:rsid w:val="00E54869"/>
    <w:rsid w:val="00E549BE"/>
    <w:rsid w:val="00E54C1D"/>
    <w:rsid w:val="00E550BC"/>
    <w:rsid w:val="00E55406"/>
    <w:rsid w:val="00E55AC9"/>
    <w:rsid w:val="00E56365"/>
    <w:rsid w:val="00E5636B"/>
    <w:rsid w:val="00E56393"/>
    <w:rsid w:val="00E5654D"/>
    <w:rsid w:val="00E56555"/>
    <w:rsid w:val="00E5661F"/>
    <w:rsid w:val="00E572DE"/>
    <w:rsid w:val="00E5733A"/>
    <w:rsid w:val="00E57BDC"/>
    <w:rsid w:val="00E57FC2"/>
    <w:rsid w:val="00E60030"/>
    <w:rsid w:val="00E601FA"/>
    <w:rsid w:val="00E602A7"/>
    <w:rsid w:val="00E6086E"/>
    <w:rsid w:val="00E60954"/>
    <w:rsid w:val="00E613A4"/>
    <w:rsid w:val="00E613FD"/>
    <w:rsid w:val="00E618E2"/>
    <w:rsid w:val="00E6205B"/>
    <w:rsid w:val="00E6247C"/>
    <w:rsid w:val="00E6287F"/>
    <w:rsid w:val="00E62B6B"/>
    <w:rsid w:val="00E62CD3"/>
    <w:rsid w:val="00E63343"/>
    <w:rsid w:val="00E63579"/>
    <w:rsid w:val="00E637BC"/>
    <w:rsid w:val="00E63AC5"/>
    <w:rsid w:val="00E63ACB"/>
    <w:rsid w:val="00E64ECB"/>
    <w:rsid w:val="00E652BA"/>
    <w:rsid w:val="00E65883"/>
    <w:rsid w:val="00E661A4"/>
    <w:rsid w:val="00E661F0"/>
    <w:rsid w:val="00E6640D"/>
    <w:rsid w:val="00E66775"/>
    <w:rsid w:val="00E66A54"/>
    <w:rsid w:val="00E66B0E"/>
    <w:rsid w:val="00E66F82"/>
    <w:rsid w:val="00E673A5"/>
    <w:rsid w:val="00E67DC8"/>
    <w:rsid w:val="00E70729"/>
    <w:rsid w:val="00E70B12"/>
    <w:rsid w:val="00E71601"/>
    <w:rsid w:val="00E71919"/>
    <w:rsid w:val="00E71E1F"/>
    <w:rsid w:val="00E720D8"/>
    <w:rsid w:val="00E72278"/>
    <w:rsid w:val="00E722B6"/>
    <w:rsid w:val="00E72354"/>
    <w:rsid w:val="00E725B9"/>
    <w:rsid w:val="00E72893"/>
    <w:rsid w:val="00E72A75"/>
    <w:rsid w:val="00E72C61"/>
    <w:rsid w:val="00E72C64"/>
    <w:rsid w:val="00E7308A"/>
    <w:rsid w:val="00E7347F"/>
    <w:rsid w:val="00E739F6"/>
    <w:rsid w:val="00E73A45"/>
    <w:rsid w:val="00E73B4A"/>
    <w:rsid w:val="00E73C58"/>
    <w:rsid w:val="00E73CEC"/>
    <w:rsid w:val="00E73EFC"/>
    <w:rsid w:val="00E73F12"/>
    <w:rsid w:val="00E74219"/>
    <w:rsid w:val="00E74564"/>
    <w:rsid w:val="00E7462C"/>
    <w:rsid w:val="00E750C7"/>
    <w:rsid w:val="00E75445"/>
    <w:rsid w:val="00E755ED"/>
    <w:rsid w:val="00E76039"/>
    <w:rsid w:val="00E76260"/>
    <w:rsid w:val="00E763AC"/>
    <w:rsid w:val="00E76426"/>
    <w:rsid w:val="00E7680A"/>
    <w:rsid w:val="00E77125"/>
    <w:rsid w:val="00E772FE"/>
    <w:rsid w:val="00E77D49"/>
    <w:rsid w:val="00E77E49"/>
    <w:rsid w:val="00E77EC6"/>
    <w:rsid w:val="00E77F3F"/>
    <w:rsid w:val="00E80145"/>
    <w:rsid w:val="00E80A87"/>
    <w:rsid w:val="00E81CEC"/>
    <w:rsid w:val="00E81DA5"/>
    <w:rsid w:val="00E821D1"/>
    <w:rsid w:val="00E82912"/>
    <w:rsid w:val="00E82A9C"/>
    <w:rsid w:val="00E82E05"/>
    <w:rsid w:val="00E83592"/>
    <w:rsid w:val="00E836AE"/>
    <w:rsid w:val="00E84BE0"/>
    <w:rsid w:val="00E84DFF"/>
    <w:rsid w:val="00E85572"/>
    <w:rsid w:val="00E855F4"/>
    <w:rsid w:val="00E85833"/>
    <w:rsid w:val="00E858F3"/>
    <w:rsid w:val="00E86043"/>
    <w:rsid w:val="00E8609A"/>
    <w:rsid w:val="00E86AC4"/>
    <w:rsid w:val="00E86D57"/>
    <w:rsid w:val="00E87485"/>
    <w:rsid w:val="00E87592"/>
    <w:rsid w:val="00E878DB"/>
    <w:rsid w:val="00E87ACF"/>
    <w:rsid w:val="00E9065F"/>
    <w:rsid w:val="00E90A2B"/>
    <w:rsid w:val="00E90E0F"/>
    <w:rsid w:val="00E9161B"/>
    <w:rsid w:val="00E9182E"/>
    <w:rsid w:val="00E91DA3"/>
    <w:rsid w:val="00E92747"/>
    <w:rsid w:val="00E92BAB"/>
    <w:rsid w:val="00E92FAB"/>
    <w:rsid w:val="00E935B8"/>
    <w:rsid w:val="00E938C9"/>
    <w:rsid w:val="00E93B91"/>
    <w:rsid w:val="00E93BB2"/>
    <w:rsid w:val="00E93D77"/>
    <w:rsid w:val="00E94597"/>
    <w:rsid w:val="00E9482E"/>
    <w:rsid w:val="00E94839"/>
    <w:rsid w:val="00E94B5F"/>
    <w:rsid w:val="00E94F83"/>
    <w:rsid w:val="00E95D57"/>
    <w:rsid w:val="00E95DDD"/>
    <w:rsid w:val="00E95E9D"/>
    <w:rsid w:val="00E95FE6"/>
    <w:rsid w:val="00E96124"/>
    <w:rsid w:val="00E964AC"/>
    <w:rsid w:val="00E96563"/>
    <w:rsid w:val="00E9690C"/>
    <w:rsid w:val="00E97083"/>
    <w:rsid w:val="00E974C9"/>
    <w:rsid w:val="00E979D2"/>
    <w:rsid w:val="00E97D04"/>
    <w:rsid w:val="00E97F43"/>
    <w:rsid w:val="00EA0248"/>
    <w:rsid w:val="00EA06E8"/>
    <w:rsid w:val="00EA0749"/>
    <w:rsid w:val="00EA0E6B"/>
    <w:rsid w:val="00EA0EF0"/>
    <w:rsid w:val="00EA13FB"/>
    <w:rsid w:val="00EA15CB"/>
    <w:rsid w:val="00EA175D"/>
    <w:rsid w:val="00EA190D"/>
    <w:rsid w:val="00EA1B9F"/>
    <w:rsid w:val="00EA2EA2"/>
    <w:rsid w:val="00EA2FBD"/>
    <w:rsid w:val="00EA331E"/>
    <w:rsid w:val="00EA3B8F"/>
    <w:rsid w:val="00EA408A"/>
    <w:rsid w:val="00EA4359"/>
    <w:rsid w:val="00EA4587"/>
    <w:rsid w:val="00EA4788"/>
    <w:rsid w:val="00EA5E9A"/>
    <w:rsid w:val="00EA6408"/>
    <w:rsid w:val="00EA6513"/>
    <w:rsid w:val="00EA6754"/>
    <w:rsid w:val="00EA6ACE"/>
    <w:rsid w:val="00EA7AED"/>
    <w:rsid w:val="00EB020C"/>
    <w:rsid w:val="00EB1196"/>
    <w:rsid w:val="00EB150B"/>
    <w:rsid w:val="00EB1803"/>
    <w:rsid w:val="00EB187A"/>
    <w:rsid w:val="00EB1C3A"/>
    <w:rsid w:val="00EB205C"/>
    <w:rsid w:val="00EB257C"/>
    <w:rsid w:val="00EB29AD"/>
    <w:rsid w:val="00EB2B24"/>
    <w:rsid w:val="00EB2D27"/>
    <w:rsid w:val="00EB2F46"/>
    <w:rsid w:val="00EB2FA6"/>
    <w:rsid w:val="00EB343E"/>
    <w:rsid w:val="00EB3C56"/>
    <w:rsid w:val="00EB3CED"/>
    <w:rsid w:val="00EB401C"/>
    <w:rsid w:val="00EB5157"/>
    <w:rsid w:val="00EB5DAC"/>
    <w:rsid w:val="00EB6480"/>
    <w:rsid w:val="00EB6551"/>
    <w:rsid w:val="00EB68D2"/>
    <w:rsid w:val="00EB6913"/>
    <w:rsid w:val="00EB6C54"/>
    <w:rsid w:val="00EB6F88"/>
    <w:rsid w:val="00EB790C"/>
    <w:rsid w:val="00EC018A"/>
    <w:rsid w:val="00EC05D9"/>
    <w:rsid w:val="00EC0AE0"/>
    <w:rsid w:val="00EC0D29"/>
    <w:rsid w:val="00EC16D7"/>
    <w:rsid w:val="00EC16DA"/>
    <w:rsid w:val="00EC189A"/>
    <w:rsid w:val="00EC1AC1"/>
    <w:rsid w:val="00EC227D"/>
    <w:rsid w:val="00EC2393"/>
    <w:rsid w:val="00EC244C"/>
    <w:rsid w:val="00EC26EE"/>
    <w:rsid w:val="00EC404A"/>
    <w:rsid w:val="00EC4B30"/>
    <w:rsid w:val="00EC5294"/>
    <w:rsid w:val="00EC55E9"/>
    <w:rsid w:val="00EC5636"/>
    <w:rsid w:val="00EC570E"/>
    <w:rsid w:val="00EC5D4F"/>
    <w:rsid w:val="00EC5ED5"/>
    <w:rsid w:val="00EC5F04"/>
    <w:rsid w:val="00EC604F"/>
    <w:rsid w:val="00EC60EA"/>
    <w:rsid w:val="00EC61B7"/>
    <w:rsid w:val="00EC66E3"/>
    <w:rsid w:val="00EC7602"/>
    <w:rsid w:val="00EC7732"/>
    <w:rsid w:val="00EC7BD8"/>
    <w:rsid w:val="00EC7BE7"/>
    <w:rsid w:val="00EC7CB0"/>
    <w:rsid w:val="00EC7E06"/>
    <w:rsid w:val="00EC7F1D"/>
    <w:rsid w:val="00EC7FB3"/>
    <w:rsid w:val="00ED016C"/>
    <w:rsid w:val="00ED0B9F"/>
    <w:rsid w:val="00ED0C74"/>
    <w:rsid w:val="00ED0EE8"/>
    <w:rsid w:val="00ED1554"/>
    <w:rsid w:val="00ED1C5F"/>
    <w:rsid w:val="00ED1C89"/>
    <w:rsid w:val="00ED1EC7"/>
    <w:rsid w:val="00ED20E2"/>
    <w:rsid w:val="00ED21A7"/>
    <w:rsid w:val="00ED30EB"/>
    <w:rsid w:val="00ED3214"/>
    <w:rsid w:val="00ED39C4"/>
    <w:rsid w:val="00ED3B18"/>
    <w:rsid w:val="00ED3E7C"/>
    <w:rsid w:val="00ED3EE2"/>
    <w:rsid w:val="00ED4913"/>
    <w:rsid w:val="00ED492B"/>
    <w:rsid w:val="00ED5A31"/>
    <w:rsid w:val="00ED5D16"/>
    <w:rsid w:val="00ED5E20"/>
    <w:rsid w:val="00ED5F98"/>
    <w:rsid w:val="00ED734F"/>
    <w:rsid w:val="00ED7624"/>
    <w:rsid w:val="00ED7E01"/>
    <w:rsid w:val="00ED7ED9"/>
    <w:rsid w:val="00EE0C58"/>
    <w:rsid w:val="00EE0E22"/>
    <w:rsid w:val="00EE0F45"/>
    <w:rsid w:val="00EE0F8D"/>
    <w:rsid w:val="00EE1536"/>
    <w:rsid w:val="00EE1737"/>
    <w:rsid w:val="00EE1872"/>
    <w:rsid w:val="00EE1B75"/>
    <w:rsid w:val="00EE266B"/>
    <w:rsid w:val="00EE2B49"/>
    <w:rsid w:val="00EE2C99"/>
    <w:rsid w:val="00EE33A4"/>
    <w:rsid w:val="00EE3736"/>
    <w:rsid w:val="00EE3A14"/>
    <w:rsid w:val="00EE3BE9"/>
    <w:rsid w:val="00EE3F3F"/>
    <w:rsid w:val="00EE43F6"/>
    <w:rsid w:val="00EE4577"/>
    <w:rsid w:val="00EE471D"/>
    <w:rsid w:val="00EE4967"/>
    <w:rsid w:val="00EE4E69"/>
    <w:rsid w:val="00EE5339"/>
    <w:rsid w:val="00EE5436"/>
    <w:rsid w:val="00EE5DA2"/>
    <w:rsid w:val="00EE63EC"/>
    <w:rsid w:val="00EE671A"/>
    <w:rsid w:val="00EE67CB"/>
    <w:rsid w:val="00EE72A1"/>
    <w:rsid w:val="00EE73DE"/>
    <w:rsid w:val="00EE77F4"/>
    <w:rsid w:val="00EE7A76"/>
    <w:rsid w:val="00EE7DAC"/>
    <w:rsid w:val="00EF0024"/>
    <w:rsid w:val="00EF0238"/>
    <w:rsid w:val="00EF033E"/>
    <w:rsid w:val="00EF0FC4"/>
    <w:rsid w:val="00EF102B"/>
    <w:rsid w:val="00EF128D"/>
    <w:rsid w:val="00EF1881"/>
    <w:rsid w:val="00EF1A8B"/>
    <w:rsid w:val="00EF1D72"/>
    <w:rsid w:val="00EF27EE"/>
    <w:rsid w:val="00EF2BD2"/>
    <w:rsid w:val="00EF2F3A"/>
    <w:rsid w:val="00EF32AD"/>
    <w:rsid w:val="00EF3479"/>
    <w:rsid w:val="00EF34A1"/>
    <w:rsid w:val="00EF381A"/>
    <w:rsid w:val="00EF3A80"/>
    <w:rsid w:val="00EF40B7"/>
    <w:rsid w:val="00EF4559"/>
    <w:rsid w:val="00EF459F"/>
    <w:rsid w:val="00EF497B"/>
    <w:rsid w:val="00EF4E41"/>
    <w:rsid w:val="00EF507E"/>
    <w:rsid w:val="00EF5931"/>
    <w:rsid w:val="00EF5A17"/>
    <w:rsid w:val="00EF7093"/>
    <w:rsid w:val="00EF739E"/>
    <w:rsid w:val="00EF73BC"/>
    <w:rsid w:val="00EF782E"/>
    <w:rsid w:val="00F00FC3"/>
    <w:rsid w:val="00F016DE"/>
    <w:rsid w:val="00F0180E"/>
    <w:rsid w:val="00F019C3"/>
    <w:rsid w:val="00F023E3"/>
    <w:rsid w:val="00F028FD"/>
    <w:rsid w:val="00F036C2"/>
    <w:rsid w:val="00F03827"/>
    <w:rsid w:val="00F03C75"/>
    <w:rsid w:val="00F03DC9"/>
    <w:rsid w:val="00F04133"/>
    <w:rsid w:val="00F04BFE"/>
    <w:rsid w:val="00F04EA5"/>
    <w:rsid w:val="00F04F01"/>
    <w:rsid w:val="00F05C49"/>
    <w:rsid w:val="00F05FBF"/>
    <w:rsid w:val="00F063FE"/>
    <w:rsid w:val="00F0670E"/>
    <w:rsid w:val="00F06734"/>
    <w:rsid w:val="00F06DB6"/>
    <w:rsid w:val="00F076FC"/>
    <w:rsid w:val="00F07B0A"/>
    <w:rsid w:val="00F1002C"/>
    <w:rsid w:val="00F10085"/>
    <w:rsid w:val="00F100E4"/>
    <w:rsid w:val="00F1050B"/>
    <w:rsid w:val="00F108C6"/>
    <w:rsid w:val="00F10958"/>
    <w:rsid w:val="00F10ED4"/>
    <w:rsid w:val="00F11051"/>
    <w:rsid w:val="00F12725"/>
    <w:rsid w:val="00F12E25"/>
    <w:rsid w:val="00F130BE"/>
    <w:rsid w:val="00F13F84"/>
    <w:rsid w:val="00F140AF"/>
    <w:rsid w:val="00F1485B"/>
    <w:rsid w:val="00F1486B"/>
    <w:rsid w:val="00F1487A"/>
    <w:rsid w:val="00F14AF6"/>
    <w:rsid w:val="00F14EA1"/>
    <w:rsid w:val="00F1537F"/>
    <w:rsid w:val="00F155B7"/>
    <w:rsid w:val="00F1563C"/>
    <w:rsid w:val="00F157B7"/>
    <w:rsid w:val="00F15F62"/>
    <w:rsid w:val="00F16A91"/>
    <w:rsid w:val="00F16AB6"/>
    <w:rsid w:val="00F16ECF"/>
    <w:rsid w:val="00F1728E"/>
    <w:rsid w:val="00F17392"/>
    <w:rsid w:val="00F17888"/>
    <w:rsid w:val="00F1793B"/>
    <w:rsid w:val="00F17CF6"/>
    <w:rsid w:val="00F20460"/>
    <w:rsid w:val="00F20BF6"/>
    <w:rsid w:val="00F20FCD"/>
    <w:rsid w:val="00F2150C"/>
    <w:rsid w:val="00F21B0E"/>
    <w:rsid w:val="00F221A6"/>
    <w:rsid w:val="00F22371"/>
    <w:rsid w:val="00F2283F"/>
    <w:rsid w:val="00F22955"/>
    <w:rsid w:val="00F23288"/>
    <w:rsid w:val="00F23A6B"/>
    <w:rsid w:val="00F23D22"/>
    <w:rsid w:val="00F23DA8"/>
    <w:rsid w:val="00F243ED"/>
    <w:rsid w:val="00F24DCB"/>
    <w:rsid w:val="00F252A4"/>
    <w:rsid w:val="00F25351"/>
    <w:rsid w:val="00F2555E"/>
    <w:rsid w:val="00F2636C"/>
    <w:rsid w:val="00F26616"/>
    <w:rsid w:val="00F26A52"/>
    <w:rsid w:val="00F270A3"/>
    <w:rsid w:val="00F276F6"/>
    <w:rsid w:val="00F279B9"/>
    <w:rsid w:val="00F30163"/>
    <w:rsid w:val="00F30329"/>
    <w:rsid w:val="00F304F4"/>
    <w:rsid w:val="00F306A3"/>
    <w:rsid w:val="00F30C70"/>
    <w:rsid w:val="00F31022"/>
    <w:rsid w:val="00F3102F"/>
    <w:rsid w:val="00F318AC"/>
    <w:rsid w:val="00F318F6"/>
    <w:rsid w:val="00F321CD"/>
    <w:rsid w:val="00F323DF"/>
    <w:rsid w:val="00F32602"/>
    <w:rsid w:val="00F33975"/>
    <w:rsid w:val="00F34403"/>
    <w:rsid w:val="00F347EB"/>
    <w:rsid w:val="00F348B6"/>
    <w:rsid w:val="00F34BBA"/>
    <w:rsid w:val="00F34BF5"/>
    <w:rsid w:val="00F34CB6"/>
    <w:rsid w:val="00F34FE6"/>
    <w:rsid w:val="00F35085"/>
    <w:rsid w:val="00F35DA0"/>
    <w:rsid w:val="00F362C5"/>
    <w:rsid w:val="00F36549"/>
    <w:rsid w:val="00F36600"/>
    <w:rsid w:val="00F37400"/>
    <w:rsid w:val="00F3771F"/>
    <w:rsid w:val="00F3776D"/>
    <w:rsid w:val="00F37797"/>
    <w:rsid w:val="00F37D53"/>
    <w:rsid w:val="00F409A8"/>
    <w:rsid w:val="00F4167D"/>
    <w:rsid w:val="00F41AC2"/>
    <w:rsid w:val="00F41E54"/>
    <w:rsid w:val="00F41F3C"/>
    <w:rsid w:val="00F424BC"/>
    <w:rsid w:val="00F424D8"/>
    <w:rsid w:val="00F42835"/>
    <w:rsid w:val="00F42CF0"/>
    <w:rsid w:val="00F43207"/>
    <w:rsid w:val="00F435EF"/>
    <w:rsid w:val="00F437A4"/>
    <w:rsid w:val="00F44299"/>
    <w:rsid w:val="00F442F2"/>
    <w:rsid w:val="00F4496A"/>
    <w:rsid w:val="00F45A64"/>
    <w:rsid w:val="00F45F3F"/>
    <w:rsid w:val="00F46249"/>
    <w:rsid w:val="00F464DF"/>
    <w:rsid w:val="00F468D6"/>
    <w:rsid w:val="00F46A9D"/>
    <w:rsid w:val="00F47510"/>
    <w:rsid w:val="00F50407"/>
    <w:rsid w:val="00F50BDE"/>
    <w:rsid w:val="00F510BC"/>
    <w:rsid w:val="00F51ADD"/>
    <w:rsid w:val="00F51F38"/>
    <w:rsid w:val="00F520CB"/>
    <w:rsid w:val="00F5239C"/>
    <w:rsid w:val="00F52E49"/>
    <w:rsid w:val="00F53315"/>
    <w:rsid w:val="00F535CE"/>
    <w:rsid w:val="00F53B44"/>
    <w:rsid w:val="00F54427"/>
    <w:rsid w:val="00F54697"/>
    <w:rsid w:val="00F54EF5"/>
    <w:rsid w:val="00F562BE"/>
    <w:rsid w:val="00F563FC"/>
    <w:rsid w:val="00F5657C"/>
    <w:rsid w:val="00F567E7"/>
    <w:rsid w:val="00F56A52"/>
    <w:rsid w:val="00F56BB9"/>
    <w:rsid w:val="00F570A0"/>
    <w:rsid w:val="00F57171"/>
    <w:rsid w:val="00F57989"/>
    <w:rsid w:val="00F57CB5"/>
    <w:rsid w:val="00F57CD7"/>
    <w:rsid w:val="00F57D1E"/>
    <w:rsid w:val="00F57E6C"/>
    <w:rsid w:val="00F60478"/>
    <w:rsid w:val="00F605BA"/>
    <w:rsid w:val="00F60A75"/>
    <w:rsid w:val="00F6173E"/>
    <w:rsid w:val="00F61DCD"/>
    <w:rsid w:val="00F62AD9"/>
    <w:rsid w:val="00F62BD0"/>
    <w:rsid w:val="00F62D59"/>
    <w:rsid w:val="00F62D85"/>
    <w:rsid w:val="00F62EAD"/>
    <w:rsid w:val="00F637B8"/>
    <w:rsid w:val="00F6409F"/>
    <w:rsid w:val="00F64379"/>
    <w:rsid w:val="00F643F7"/>
    <w:rsid w:val="00F644D6"/>
    <w:rsid w:val="00F648FB"/>
    <w:rsid w:val="00F64963"/>
    <w:rsid w:val="00F65017"/>
    <w:rsid w:val="00F6501D"/>
    <w:rsid w:val="00F65969"/>
    <w:rsid w:val="00F65C6F"/>
    <w:rsid w:val="00F66BF0"/>
    <w:rsid w:val="00F66CD4"/>
    <w:rsid w:val="00F670BC"/>
    <w:rsid w:val="00F67428"/>
    <w:rsid w:val="00F67C32"/>
    <w:rsid w:val="00F67D17"/>
    <w:rsid w:val="00F7079D"/>
    <w:rsid w:val="00F709DE"/>
    <w:rsid w:val="00F70A5D"/>
    <w:rsid w:val="00F70ACE"/>
    <w:rsid w:val="00F71124"/>
    <w:rsid w:val="00F714DE"/>
    <w:rsid w:val="00F716F7"/>
    <w:rsid w:val="00F71784"/>
    <w:rsid w:val="00F71851"/>
    <w:rsid w:val="00F719B6"/>
    <w:rsid w:val="00F71A7A"/>
    <w:rsid w:val="00F71DC4"/>
    <w:rsid w:val="00F71EF3"/>
    <w:rsid w:val="00F72342"/>
    <w:rsid w:val="00F72816"/>
    <w:rsid w:val="00F72B00"/>
    <w:rsid w:val="00F7335E"/>
    <w:rsid w:val="00F736B5"/>
    <w:rsid w:val="00F74127"/>
    <w:rsid w:val="00F74279"/>
    <w:rsid w:val="00F74412"/>
    <w:rsid w:val="00F7456F"/>
    <w:rsid w:val="00F748F7"/>
    <w:rsid w:val="00F74C04"/>
    <w:rsid w:val="00F74DAD"/>
    <w:rsid w:val="00F74ED2"/>
    <w:rsid w:val="00F750EC"/>
    <w:rsid w:val="00F75554"/>
    <w:rsid w:val="00F7562B"/>
    <w:rsid w:val="00F757B9"/>
    <w:rsid w:val="00F7581D"/>
    <w:rsid w:val="00F769E6"/>
    <w:rsid w:val="00F76E0E"/>
    <w:rsid w:val="00F77968"/>
    <w:rsid w:val="00F80936"/>
    <w:rsid w:val="00F80C35"/>
    <w:rsid w:val="00F80DC1"/>
    <w:rsid w:val="00F8102A"/>
    <w:rsid w:val="00F81192"/>
    <w:rsid w:val="00F8126D"/>
    <w:rsid w:val="00F81CAA"/>
    <w:rsid w:val="00F81E17"/>
    <w:rsid w:val="00F821D6"/>
    <w:rsid w:val="00F824A6"/>
    <w:rsid w:val="00F82A6F"/>
    <w:rsid w:val="00F83301"/>
    <w:rsid w:val="00F84316"/>
    <w:rsid w:val="00F84390"/>
    <w:rsid w:val="00F844F6"/>
    <w:rsid w:val="00F85F45"/>
    <w:rsid w:val="00F86183"/>
    <w:rsid w:val="00F875F5"/>
    <w:rsid w:val="00F878A4"/>
    <w:rsid w:val="00F9015D"/>
    <w:rsid w:val="00F91122"/>
    <w:rsid w:val="00F914C2"/>
    <w:rsid w:val="00F91F50"/>
    <w:rsid w:val="00F92488"/>
    <w:rsid w:val="00F924DF"/>
    <w:rsid w:val="00F9252A"/>
    <w:rsid w:val="00F927C8"/>
    <w:rsid w:val="00F92AA9"/>
    <w:rsid w:val="00F92D6C"/>
    <w:rsid w:val="00F93BE1"/>
    <w:rsid w:val="00F949EA"/>
    <w:rsid w:val="00F95333"/>
    <w:rsid w:val="00F95625"/>
    <w:rsid w:val="00F959FF"/>
    <w:rsid w:val="00F95B5D"/>
    <w:rsid w:val="00F96EBA"/>
    <w:rsid w:val="00F97B89"/>
    <w:rsid w:val="00FA02A8"/>
    <w:rsid w:val="00FA0F04"/>
    <w:rsid w:val="00FA1061"/>
    <w:rsid w:val="00FA13CE"/>
    <w:rsid w:val="00FA154B"/>
    <w:rsid w:val="00FA16BA"/>
    <w:rsid w:val="00FA1C6F"/>
    <w:rsid w:val="00FA23BF"/>
    <w:rsid w:val="00FA23D3"/>
    <w:rsid w:val="00FA270B"/>
    <w:rsid w:val="00FA2CA8"/>
    <w:rsid w:val="00FA3207"/>
    <w:rsid w:val="00FA33F1"/>
    <w:rsid w:val="00FA3706"/>
    <w:rsid w:val="00FA3797"/>
    <w:rsid w:val="00FA39BF"/>
    <w:rsid w:val="00FA3DA7"/>
    <w:rsid w:val="00FA3E31"/>
    <w:rsid w:val="00FA3F4C"/>
    <w:rsid w:val="00FA3FDF"/>
    <w:rsid w:val="00FA40E8"/>
    <w:rsid w:val="00FA421D"/>
    <w:rsid w:val="00FA42FE"/>
    <w:rsid w:val="00FA4689"/>
    <w:rsid w:val="00FA48D7"/>
    <w:rsid w:val="00FA4A0B"/>
    <w:rsid w:val="00FA52D9"/>
    <w:rsid w:val="00FA5668"/>
    <w:rsid w:val="00FA5CBF"/>
    <w:rsid w:val="00FA62B8"/>
    <w:rsid w:val="00FA74E8"/>
    <w:rsid w:val="00FA7AFA"/>
    <w:rsid w:val="00FB1193"/>
    <w:rsid w:val="00FB18EB"/>
    <w:rsid w:val="00FB1904"/>
    <w:rsid w:val="00FB19F5"/>
    <w:rsid w:val="00FB1C41"/>
    <w:rsid w:val="00FB2077"/>
    <w:rsid w:val="00FB224F"/>
    <w:rsid w:val="00FB2287"/>
    <w:rsid w:val="00FB24F4"/>
    <w:rsid w:val="00FB289F"/>
    <w:rsid w:val="00FB35AB"/>
    <w:rsid w:val="00FB3C79"/>
    <w:rsid w:val="00FB3D3D"/>
    <w:rsid w:val="00FB44B0"/>
    <w:rsid w:val="00FB46B1"/>
    <w:rsid w:val="00FB4832"/>
    <w:rsid w:val="00FB4D07"/>
    <w:rsid w:val="00FB4EE1"/>
    <w:rsid w:val="00FB528B"/>
    <w:rsid w:val="00FB56F1"/>
    <w:rsid w:val="00FB580D"/>
    <w:rsid w:val="00FB5D9A"/>
    <w:rsid w:val="00FB5EFE"/>
    <w:rsid w:val="00FB62B4"/>
    <w:rsid w:val="00FB671A"/>
    <w:rsid w:val="00FB6CF0"/>
    <w:rsid w:val="00FB73DE"/>
    <w:rsid w:val="00FB7592"/>
    <w:rsid w:val="00FB783D"/>
    <w:rsid w:val="00FB7F77"/>
    <w:rsid w:val="00FC01F5"/>
    <w:rsid w:val="00FC0284"/>
    <w:rsid w:val="00FC0ADB"/>
    <w:rsid w:val="00FC0E2D"/>
    <w:rsid w:val="00FC1891"/>
    <w:rsid w:val="00FC1AE3"/>
    <w:rsid w:val="00FC2ED9"/>
    <w:rsid w:val="00FC3A98"/>
    <w:rsid w:val="00FC3BFB"/>
    <w:rsid w:val="00FC3C7D"/>
    <w:rsid w:val="00FC421E"/>
    <w:rsid w:val="00FC4549"/>
    <w:rsid w:val="00FC467B"/>
    <w:rsid w:val="00FC46B1"/>
    <w:rsid w:val="00FC4749"/>
    <w:rsid w:val="00FC4DA6"/>
    <w:rsid w:val="00FC52FD"/>
    <w:rsid w:val="00FC5602"/>
    <w:rsid w:val="00FC56BE"/>
    <w:rsid w:val="00FC57AE"/>
    <w:rsid w:val="00FC5AC9"/>
    <w:rsid w:val="00FC5EBB"/>
    <w:rsid w:val="00FC6582"/>
    <w:rsid w:val="00FC70FF"/>
    <w:rsid w:val="00FC714A"/>
    <w:rsid w:val="00FC734F"/>
    <w:rsid w:val="00FC7721"/>
    <w:rsid w:val="00FD0033"/>
    <w:rsid w:val="00FD075D"/>
    <w:rsid w:val="00FD12BB"/>
    <w:rsid w:val="00FD14D8"/>
    <w:rsid w:val="00FD1C73"/>
    <w:rsid w:val="00FD20E9"/>
    <w:rsid w:val="00FD2146"/>
    <w:rsid w:val="00FD2629"/>
    <w:rsid w:val="00FD336C"/>
    <w:rsid w:val="00FD3C16"/>
    <w:rsid w:val="00FD4C19"/>
    <w:rsid w:val="00FD4D88"/>
    <w:rsid w:val="00FD4F36"/>
    <w:rsid w:val="00FD515D"/>
    <w:rsid w:val="00FD5B2D"/>
    <w:rsid w:val="00FD60B7"/>
    <w:rsid w:val="00FD6429"/>
    <w:rsid w:val="00FD6A0C"/>
    <w:rsid w:val="00FD7793"/>
    <w:rsid w:val="00FD77FD"/>
    <w:rsid w:val="00FD7E7C"/>
    <w:rsid w:val="00FE0411"/>
    <w:rsid w:val="00FE1347"/>
    <w:rsid w:val="00FE1E15"/>
    <w:rsid w:val="00FE21BC"/>
    <w:rsid w:val="00FE21DD"/>
    <w:rsid w:val="00FE2241"/>
    <w:rsid w:val="00FE2584"/>
    <w:rsid w:val="00FE27DB"/>
    <w:rsid w:val="00FE295A"/>
    <w:rsid w:val="00FE31BD"/>
    <w:rsid w:val="00FE3203"/>
    <w:rsid w:val="00FE33CF"/>
    <w:rsid w:val="00FE37BF"/>
    <w:rsid w:val="00FE37EE"/>
    <w:rsid w:val="00FE3C75"/>
    <w:rsid w:val="00FE3CF8"/>
    <w:rsid w:val="00FE3DE5"/>
    <w:rsid w:val="00FE3FCF"/>
    <w:rsid w:val="00FE40D3"/>
    <w:rsid w:val="00FE4116"/>
    <w:rsid w:val="00FE46BA"/>
    <w:rsid w:val="00FE4A55"/>
    <w:rsid w:val="00FE5908"/>
    <w:rsid w:val="00FE5CA1"/>
    <w:rsid w:val="00FE628C"/>
    <w:rsid w:val="00FE641B"/>
    <w:rsid w:val="00FE64BF"/>
    <w:rsid w:val="00FE68F2"/>
    <w:rsid w:val="00FE71ED"/>
    <w:rsid w:val="00FE7270"/>
    <w:rsid w:val="00FE72A8"/>
    <w:rsid w:val="00FE7B74"/>
    <w:rsid w:val="00FE7BCA"/>
    <w:rsid w:val="00FF01A5"/>
    <w:rsid w:val="00FF03C7"/>
    <w:rsid w:val="00FF03FF"/>
    <w:rsid w:val="00FF08C5"/>
    <w:rsid w:val="00FF0C68"/>
    <w:rsid w:val="00FF10CB"/>
    <w:rsid w:val="00FF17CC"/>
    <w:rsid w:val="00FF272F"/>
    <w:rsid w:val="00FF2A74"/>
    <w:rsid w:val="00FF2A89"/>
    <w:rsid w:val="00FF3719"/>
    <w:rsid w:val="00FF5359"/>
    <w:rsid w:val="00FF57A5"/>
    <w:rsid w:val="00FF5BF9"/>
    <w:rsid w:val="00FF64D1"/>
    <w:rsid w:val="00FF66E4"/>
    <w:rsid w:val="00FF6BC8"/>
    <w:rsid w:val="00FF71F0"/>
    <w:rsid w:val="00FF76C0"/>
    <w:rsid w:val="00FF7A3E"/>
    <w:rsid w:val="00FF7A48"/>
    <w:rsid w:val="00FF7C18"/>
    <w:rsid w:val="22742E46"/>
    <w:rsid w:val="2D92202B"/>
    <w:rsid w:val="3727456C"/>
    <w:rsid w:val="3A3229C0"/>
    <w:rsid w:val="3A880591"/>
    <w:rsid w:val="44E74DB2"/>
    <w:rsid w:val="520540AB"/>
    <w:rsid w:val="5E56740A"/>
    <w:rsid w:val="703015D0"/>
    <w:rsid w:val="7BE35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qFormat="1"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480" w:firstLineChars="200"/>
      <w:textAlignment w:val="baseline"/>
    </w:pPr>
    <w:rPr>
      <w:rFonts w:ascii="Times New Roman" w:hAnsi="Times New Roman" w:eastAsia="宋体" w:cs="Times New Roman"/>
      <w:sz w:val="24"/>
      <w:lang w:val="en-US" w:eastAsia="zh-CN" w:bidi="ar-SA"/>
    </w:rPr>
  </w:style>
  <w:style w:type="paragraph" w:styleId="2">
    <w:name w:val="heading 1"/>
    <w:basedOn w:val="1"/>
    <w:next w:val="1"/>
    <w:link w:val="172"/>
    <w:qFormat/>
    <w:uiPriority w:val="99"/>
    <w:pPr>
      <w:keepNext/>
      <w:keepLines/>
      <w:numPr>
        <w:ilvl w:val="0"/>
        <w:numId w:val="1"/>
      </w:numPr>
      <w:spacing w:before="340" w:after="330" w:line="578" w:lineRule="atLeast"/>
      <w:ind w:firstLine="0" w:firstLineChars="0"/>
      <w:jc w:val="center"/>
      <w:outlineLvl w:val="0"/>
    </w:pPr>
    <w:rPr>
      <w:b/>
      <w:bCs/>
      <w:kern w:val="44"/>
      <w:sz w:val="28"/>
      <w:szCs w:val="28"/>
    </w:rPr>
  </w:style>
  <w:style w:type="paragraph" w:styleId="3">
    <w:name w:val="heading 2"/>
    <w:basedOn w:val="1"/>
    <w:next w:val="1"/>
    <w:link w:val="67"/>
    <w:qFormat/>
    <w:uiPriority w:val="99"/>
    <w:pPr>
      <w:keepNext/>
      <w:keepLines/>
      <w:spacing w:before="260" w:after="260" w:line="416" w:lineRule="atLeast"/>
      <w:ind w:firstLine="0" w:firstLineChars="0"/>
      <w:jc w:val="center"/>
      <w:outlineLvl w:val="1"/>
    </w:pPr>
    <w:rPr>
      <w:rFonts w:ascii="宋体" w:hAnsi="宋体"/>
      <w:b/>
      <w:bCs/>
      <w:sz w:val="28"/>
      <w:szCs w:val="28"/>
    </w:rPr>
  </w:style>
  <w:style w:type="paragraph" w:styleId="4">
    <w:name w:val="heading 3"/>
    <w:basedOn w:val="1"/>
    <w:next w:val="1"/>
    <w:link w:val="307"/>
    <w:qFormat/>
    <w:uiPriority w:val="99"/>
    <w:pPr>
      <w:keepNext/>
      <w:keepLines/>
      <w:spacing w:before="260" w:after="260" w:line="416" w:lineRule="atLeast"/>
      <w:ind w:firstLine="0" w:firstLineChars="0"/>
      <w:outlineLvl w:val="2"/>
    </w:pPr>
    <w:rPr>
      <w:rFonts w:ascii="宋体" w:hAnsi="宋体"/>
      <w:b/>
      <w:bCs/>
      <w:szCs w:val="24"/>
    </w:rPr>
  </w:style>
  <w:style w:type="paragraph" w:styleId="5">
    <w:name w:val="heading 4"/>
    <w:basedOn w:val="1"/>
    <w:next w:val="1"/>
    <w:link w:val="69"/>
    <w:qFormat/>
    <w:uiPriority w:val="99"/>
    <w:pPr>
      <w:keepNext/>
      <w:keepLines/>
      <w:spacing w:before="280" w:after="290" w:line="376" w:lineRule="atLeast"/>
      <w:outlineLvl w:val="3"/>
    </w:pPr>
    <w:rPr>
      <w:rFonts w:ascii="Arial" w:hAnsi="Arial" w:eastAsia="黑体"/>
      <w:b/>
      <w:bCs/>
      <w:sz w:val="28"/>
      <w:szCs w:val="28"/>
    </w:rPr>
  </w:style>
  <w:style w:type="paragraph" w:styleId="6">
    <w:name w:val="heading 5"/>
    <w:basedOn w:val="1"/>
    <w:next w:val="1"/>
    <w:link w:val="308"/>
    <w:qFormat/>
    <w:uiPriority w:val="99"/>
    <w:pPr>
      <w:keepNext/>
      <w:keepLines/>
      <w:spacing w:before="280" w:after="290" w:line="376" w:lineRule="atLeast"/>
      <w:outlineLvl w:val="4"/>
    </w:pPr>
    <w:rPr>
      <w:b/>
      <w:bCs/>
      <w:sz w:val="28"/>
      <w:szCs w:val="28"/>
    </w:rPr>
  </w:style>
  <w:style w:type="paragraph" w:styleId="7">
    <w:name w:val="heading 6"/>
    <w:basedOn w:val="1"/>
    <w:next w:val="1"/>
    <w:link w:val="309"/>
    <w:qFormat/>
    <w:uiPriority w:val="99"/>
    <w:pPr>
      <w:keepNext/>
      <w:keepLines/>
      <w:spacing w:before="240" w:after="64" w:line="320" w:lineRule="atLeast"/>
      <w:outlineLvl w:val="5"/>
    </w:pPr>
    <w:rPr>
      <w:rFonts w:ascii="Arial" w:hAnsi="Arial" w:eastAsia="黑体"/>
      <w:b/>
      <w:bCs/>
      <w:szCs w:val="24"/>
    </w:rPr>
  </w:style>
  <w:style w:type="paragraph" w:styleId="8">
    <w:name w:val="heading 7"/>
    <w:basedOn w:val="1"/>
    <w:next w:val="1"/>
    <w:link w:val="310"/>
    <w:qFormat/>
    <w:uiPriority w:val="99"/>
    <w:pPr>
      <w:keepNext/>
      <w:keepLines/>
      <w:spacing w:before="240" w:after="64" w:line="320" w:lineRule="atLeast"/>
      <w:outlineLvl w:val="6"/>
    </w:pPr>
    <w:rPr>
      <w:b/>
      <w:bCs/>
      <w:szCs w:val="24"/>
    </w:rPr>
  </w:style>
  <w:style w:type="paragraph" w:styleId="9">
    <w:name w:val="heading 8"/>
    <w:basedOn w:val="1"/>
    <w:next w:val="1"/>
    <w:link w:val="311"/>
    <w:qFormat/>
    <w:uiPriority w:val="99"/>
    <w:pPr>
      <w:keepNext/>
      <w:keepLines/>
      <w:spacing w:before="240" w:after="64" w:line="320" w:lineRule="atLeast"/>
      <w:outlineLvl w:val="7"/>
    </w:pPr>
    <w:rPr>
      <w:rFonts w:ascii="Arial" w:hAnsi="Arial" w:eastAsia="黑体"/>
      <w:szCs w:val="24"/>
    </w:rPr>
  </w:style>
  <w:style w:type="paragraph" w:styleId="10">
    <w:name w:val="heading 9"/>
    <w:basedOn w:val="1"/>
    <w:next w:val="1"/>
    <w:link w:val="312"/>
    <w:qFormat/>
    <w:uiPriority w:val="99"/>
    <w:pPr>
      <w:keepNext/>
      <w:keepLines/>
      <w:spacing w:before="240" w:after="64" w:line="320" w:lineRule="atLeast"/>
      <w:outlineLvl w:val="8"/>
    </w:pPr>
    <w:rPr>
      <w:rFonts w:ascii="Arial" w:hAnsi="Arial" w:eastAsia="黑体"/>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39"/>
    <w:pPr>
      <w:ind w:left="1200"/>
    </w:pPr>
    <w:rPr>
      <w:sz w:val="20"/>
    </w:rPr>
  </w:style>
  <w:style w:type="paragraph" w:styleId="12">
    <w:name w:val="Normal Indent"/>
    <w:basedOn w:val="1"/>
    <w:link w:val="57"/>
    <w:qFormat/>
    <w:uiPriority w:val="99"/>
    <w:pPr>
      <w:ind w:firstLine="420"/>
    </w:pPr>
  </w:style>
  <w:style w:type="paragraph" w:styleId="13">
    <w:name w:val="caption"/>
    <w:basedOn w:val="1"/>
    <w:next w:val="1"/>
    <w:qFormat/>
    <w:uiPriority w:val="0"/>
    <w:pPr>
      <w:spacing w:line="480" w:lineRule="auto"/>
    </w:pPr>
    <w:rPr>
      <w:rFonts w:ascii="华文中宋" w:hAnsi="华文中宋" w:eastAsia="华文中宋"/>
      <w:kern w:val="2"/>
      <w:sz w:val="36"/>
    </w:rPr>
  </w:style>
  <w:style w:type="paragraph" w:styleId="14">
    <w:name w:val="index 5"/>
    <w:basedOn w:val="1"/>
    <w:next w:val="1"/>
    <w:qFormat/>
    <w:uiPriority w:val="99"/>
    <w:pPr>
      <w:adjustRightInd/>
      <w:ind w:left="800" w:leftChars="800" w:firstLine="0" w:firstLineChars="0"/>
      <w:jc w:val="both"/>
      <w:textAlignment w:val="auto"/>
    </w:pPr>
    <w:rPr>
      <w:kern w:val="2"/>
      <w:sz w:val="21"/>
      <w:szCs w:val="24"/>
    </w:rPr>
  </w:style>
  <w:style w:type="paragraph" w:styleId="15">
    <w:name w:val="Document Map"/>
    <w:basedOn w:val="1"/>
    <w:link w:val="317"/>
    <w:qFormat/>
    <w:uiPriority w:val="99"/>
    <w:pPr>
      <w:shd w:val="clear" w:color="auto" w:fill="000080"/>
    </w:pPr>
  </w:style>
  <w:style w:type="paragraph" w:styleId="16">
    <w:name w:val="annotation text"/>
    <w:basedOn w:val="1"/>
    <w:link w:val="75"/>
    <w:qFormat/>
    <w:uiPriority w:val="99"/>
  </w:style>
  <w:style w:type="paragraph" w:styleId="17">
    <w:name w:val="Salutation"/>
    <w:basedOn w:val="1"/>
    <w:next w:val="1"/>
    <w:link w:val="80"/>
    <w:qFormat/>
    <w:uiPriority w:val="0"/>
    <w:pPr>
      <w:adjustRightInd/>
      <w:spacing w:line="240" w:lineRule="auto"/>
      <w:ind w:firstLine="630" w:firstLineChars="300"/>
      <w:textAlignment w:val="auto"/>
    </w:pPr>
    <w:rPr>
      <w:rFonts w:ascii="宋体" w:hAnsi="宋体"/>
      <w:b/>
      <w:snapToGrid w:val="0"/>
      <w:szCs w:val="24"/>
      <w:lang w:eastAsia="en-US"/>
    </w:rPr>
  </w:style>
  <w:style w:type="paragraph" w:styleId="18">
    <w:name w:val="Body Text 3"/>
    <w:basedOn w:val="1"/>
    <w:link w:val="313"/>
    <w:qFormat/>
    <w:uiPriority w:val="99"/>
    <w:pPr>
      <w:adjustRightInd/>
      <w:spacing w:after="120" w:line="240" w:lineRule="auto"/>
      <w:ind w:firstLine="0"/>
      <w:jc w:val="both"/>
      <w:textAlignment w:val="auto"/>
    </w:pPr>
    <w:rPr>
      <w:kern w:val="2"/>
      <w:sz w:val="16"/>
      <w:szCs w:val="16"/>
    </w:rPr>
  </w:style>
  <w:style w:type="paragraph" w:styleId="19">
    <w:name w:val="Body Text"/>
    <w:basedOn w:val="1"/>
    <w:link w:val="184"/>
    <w:qFormat/>
    <w:uiPriority w:val="99"/>
    <w:pPr>
      <w:adjustRightInd/>
      <w:spacing w:line="240" w:lineRule="auto"/>
      <w:jc w:val="both"/>
      <w:textAlignment w:val="auto"/>
    </w:pPr>
    <w:rPr>
      <w:kern w:val="2"/>
      <w:sz w:val="28"/>
    </w:rPr>
  </w:style>
  <w:style w:type="paragraph" w:styleId="20">
    <w:name w:val="Body Text Indent"/>
    <w:basedOn w:val="1"/>
    <w:link w:val="201"/>
    <w:qFormat/>
    <w:uiPriority w:val="99"/>
    <w:pPr>
      <w:spacing w:line="240" w:lineRule="auto"/>
      <w:ind w:left="1104" w:leftChars="460"/>
    </w:pPr>
    <w:rPr>
      <w:rFonts w:ascii="宋体" w:hAnsi="宋体"/>
      <w:szCs w:val="21"/>
    </w:rPr>
  </w:style>
  <w:style w:type="paragraph" w:styleId="21">
    <w:name w:val="List 2"/>
    <w:basedOn w:val="1"/>
    <w:qFormat/>
    <w:uiPriority w:val="0"/>
    <w:pPr>
      <w:adjustRightInd/>
      <w:spacing w:line="240" w:lineRule="auto"/>
      <w:ind w:left="400" w:leftChars="200" w:hanging="200" w:hangingChars="200"/>
      <w:jc w:val="both"/>
      <w:textAlignment w:val="auto"/>
    </w:pPr>
    <w:rPr>
      <w:kern w:val="2"/>
      <w:sz w:val="21"/>
      <w:szCs w:val="24"/>
    </w:rPr>
  </w:style>
  <w:style w:type="paragraph" w:styleId="22">
    <w:name w:val="Block Text"/>
    <w:basedOn w:val="1"/>
    <w:qFormat/>
    <w:uiPriority w:val="99"/>
    <w:pPr>
      <w:widowControl/>
      <w:numPr>
        <w:ilvl w:val="0"/>
        <w:numId w:val="2"/>
      </w:numPr>
      <w:tabs>
        <w:tab w:val="clear" w:pos="780"/>
      </w:tabs>
      <w:adjustRightInd/>
      <w:spacing w:line="240" w:lineRule="auto"/>
      <w:ind w:left="480" w:right="-341" w:firstLine="513" w:firstLineChars="0"/>
      <w:jc w:val="both"/>
      <w:textAlignment w:val="auto"/>
    </w:pPr>
  </w:style>
  <w:style w:type="paragraph" w:styleId="23">
    <w:name w:val="toc 5"/>
    <w:basedOn w:val="1"/>
    <w:next w:val="1"/>
    <w:qFormat/>
    <w:uiPriority w:val="39"/>
    <w:pPr>
      <w:ind w:left="720"/>
    </w:pPr>
    <w:rPr>
      <w:sz w:val="20"/>
    </w:rPr>
  </w:style>
  <w:style w:type="paragraph" w:styleId="24">
    <w:name w:val="toc 3"/>
    <w:basedOn w:val="1"/>
    <w:next w:val="1"/>
    <w:qFormat/>
    <w:uiPriority w:val="39"/>
    <w:pPr>
      <w:ind w:left="238" w:firstLine="200"/>
    </w:pPr>
  </w:style>
  <w:style w:type="paragraph" w:styleId="25">
    <w:name w:val="Plain Text"/>
    <w:basedOn w:val="1"/>
    <w:link w:val="58"/>
    <w:qFormat/>
    <w:uiPriority w:val="99"/>
    <w:pPr>
      <w:adjustRightInd/>
      <w:spacing w:line="240" w:lineRule="auto"/>
      <w:jc w:val="both"/>
      <w:textAlignment w:val="auto"/>
    </w:pPr>
    <w:rPr>
      <w:rFonts w:ascii="宋体" w:hAnsi="Courier New"/>
      <w:kern w:val="2"/>
      <w:sz w:val="21"/>
      <w:szCs w:val="21"/>
    </w:rPr>
  </w:style>
  <w:style w:type="paragraph" w:styleId="26">
    <w:name w:val="toc 8"/>
    <w:basedOn w:val="1"/>
    <w:next w:val="1"/>
    <w:qFormat/>
    <w:uiPriority w:val="39"/>
    <w:pPr>
      <w:ind w:left="1440"/>
    </w:pPr>
    <w:rPr>
      <w:sz w:val="20"/>
    </w:rPr>
  </w:style>
  <w:style w:type="paragraph" w:styleId="27">
    <w:name w:val="Date"/>
    <w:basedOn w:val="1"/>
    <w:next w:val="1"/>
    <w:link w:val="178"/>
    <w:qFormat/>
    <w:uiPriority w:val="99"/>
    <w:pPr>
      <w:adjustRightInd/>
      <w:spacing w:line="240" w:lineRule="auto"/>
      <w:ind w:left="100" w:leftChars="2500"/>
      <w:jc w:val="both"/>
      <w:textAlignment w:val="auto"/>
    </w:pPr>
    <w:rPr>
      <w:kern w:val="2"/>
      <w:sz w:val="21"/>
    </w:rPr>
  </w:style>
  <w:style w:type="paragraph" w:styleId="28">
    <w:name w:val="Body Text Indent 2"/>
    <w:basedOn w:val="1"/>
    <w:link w:val="314"/>
    <w:qFormat/>
    <w:uiPriority w:val="99"/>
    <w:pPr>
      <w:spacing w:line="240" w:lineRule="auto"/>
      <w:ind w:firstLine="586" w:firstLineChars="244"/>
    </w:pPr>
    <w:rPr>
      <w:rFonts w:ascii="宋体" w:hAnsi="宋体"/>
      <w:szCs w:val="21"/>
    </w:rPr>
  </w:style>
  <w:style w:type="paragraph" w:styleId="29">
    <w:name w:val="Balloon Text"/>
    <w:basedOn w:val="1"/>
    <w:link w:val="316"/>
    <w:qFormat/>
    <w:uiPriority w:val="0"/>
    <w:rPr>
      <w:sz w:val="18"/>
      <w:szCs w:val="18"/>
    </w:rPr>
  </w:style>
  <w:style w:type="paragraph" w:styleId="30">
    <w:name w:val="footer"/>
    <w:basedOn w:val="1"/>
    <w:link w:val="140"/>
    <w:qFormat/>
    <w:uiPriority w:val="99"/>
    <w:pPr>
      <w:tabs>
        <w:tab w:val="center" w:pos="4153"/>
        <w:tab w:val="right" w:pos="8306"/>
      </w:tabs>
      <w:spacing w:line="240" w:lineRule="atLeast"/>
    </w:pPr>
    <w:rPr>
      <w:sz w:val="18"/>
    </w:rPr>
  </w:style>
  <w:style w:type="paragraph" w:styleId="31">
    <w:name w:val="header"/>
    <w:basedOn w:val="1"/>
    <w:link w:val="139"/>
    <w:qFormat/>
    <w:uiPriority w:val="99"/>
    <w:pPr>
      <w:pBdr>
        <w:bottom w:val="single" w:color="auto" w:sz="6" w:space="1"/>
      </w:pBdr>
      <w:tabs>
        <w:tab w:val="center" w:pos="4153"/>
        <w:tab w:val="right" w:pos="8306"/>
      </w:tabs>
      <w:spacing w:line="240" w:lineRule="atLeast"/>
      <w:jc w:val="center"/>
    </w:pPr>
    <w:rPr>
      <w:sz w:val="18"/>
    </w:rPr>
  </w:style>
  <w:style w:type="paragraph" w:styleId="32">
    <w:name w:val="toc 1"/>
    <w:basedOn w:val="1"/>
    <w:next w:val="1"/>
    <w:qFormat/>
    <w:uiPriority w:val="39"/>
    <w:pPr>
      <w:spacing w:beforeLines="50" w:afterLines="50"/>
      <w:ind w:firstLine="200"/>
    </w:pPr>
    <w:rPr>
      <w:rFonts w:ascii="Arial" w:hAnsi="Arial" w:cs="Arial"/>
      <w:b/>
      <w:bCs/>
      <w:caps/>
      <w:szCs w:val="24"/>
    </w:rPr>
  </w:style>
  <w:style w:type="paragraph" w:styleId="33">
    <w:name w:val="toc 4"/>
    <w:basedOn w:val="1"/>
    <w:next w:val="1"/>
    <w:qFormat/>
    <w:uiPriority w:val="39"/>
    <w:pPr>
      <w:ind w:left="480"/>
    </w:pPr>
    <w:rPr>
      <w:sz w:val="20"/>
    </w:rPr>
  </w:style>
  <w:style w:type="paragraph" w:styleId="34">
    <w:name w:val="List"/>
    <w:basedOn w:val="1"/>
    <w:qFormat/>
    <w:uiPriority w:val="99"/>
    <w:pPr>
      <w:spacing w:line="360" w:lineRule="atLeast"/>
      <w:ind w:left="420" w:hanging="420" w:firstLineChars="0"/>
      <w:textAlignment w:val="auto"/>
    </w:pPr>
    <w:rPr>
      <w:rFonts w:hint="eastAsia" w:ascii="宋体"/>
    </w:rPr>
  </w:style>
  <w:style w:type="paragraph" w:styleId="35">
    <w:name w:val="toc 6"/>
    <w:basedOn w:val="1"/>
    <w:next w:val="1"/>
    <w:qFormat/>
    <w:uiPriority w:val="39"/>
    <w:pPr>
      <w:ind w:left="960"/>
    </w:pPr>
    <w:rPr>
      <w:sz w:val="20"/>
    </w:rPr>
  </w:style>
  <w:style w:type="paragraph" w:styleId="36">
    <w:name w:val="Body Text Indent 3"/>
    <w:basedOn w:val="1"/>
    <w:link w:val="315"/>
    <w:qFormat/>
    <w:uiPriority w:val="99"/>
    <w:pPr>
      <w:ind w:firstLine="570"/>
    </w:pPr>
    <w:rPr>
      <w:sz w:val="28"/>
    </w:rPr>
  </w:style>
  <w:style w:type="paragraph" w:styleId="37">
    <w:name w:val="toc 2"/>
    <w:basedOn w:val="1"/>
    <w:next w:val="1"/>
    <w:qFormat/>
    <w:uiPriority w:val="39"/>
    <w:pPr>
      <w:spacing w:beforeLines="50" w:line="240" w:lineRule="auto"/>
      <w:ind w:firstLine="200"/>
    </w:pPr>
    <w:rPr>
      <w:bCs/>
    </w:rPr>
  </w:style>
  <w:style w:type="paragraph" w:styleId="38">
    <w:name w:val="toc 9"/>
    <w:basedOn w:val="1"/>
    <w:next w:val="1"/>
    <w:qFormat/>
    <w:uiPriority w:val="39"/>
    <w:pPr>
      <w:ind w:left="1680"/>
    </w:pPr>
    <w:rPr>
      <w:sz w:val="20"/>
    </w:rPr>
  </w:style>
  <w:style w:type="paragraph" w:styleId="39">
    <w:name w:val="Body Text 2"/>
    <w:basedOn w:val="1"/>
    <w:link w:val="282"/>
    <w:qFormat/>
    <w:uiPriority w:val="99"/>
    <w:pPr>
      <w:spacing w:after="120" w:line="480" w:lineRule="auto"/>
    </w:pPr>
  </w:style>
  <w:style w:type="paragraph" w:styleId="40">
    <w:name w:val="HTML Preformatted"/>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cs="宋体"/>
      <w:szCs w:val="24"/>
    </w:rPr>
  </w:style>
  <w:style w:type="paragraph" w:styleId="41">
    <w:name w:val="Normal (Web)"/>
    <w:basedOn w:val="1"/>
    <w:qFormat/>
    <w:uiPriority w:val="99"/>
    <w:pPr>
      <w:widowControl/>
      <w:adjustRightInd/>
      <w:spacing w:before="100" w:beforeAutospacing="1" w:after="100" w:afterAutospacing="1" w:line="240" w:lineRule="auto"/>
      <w:textAlignment w:val="auto"/>
    </w:pPr>
    <w:rPr>
      <w:rFonts w:ascii="宋体" w:hAnsi="宋体"/>
      <w:szCs w:val="24"/>
      <w:lang w:eastAsia="en-US"/>
    </w:rPr>
  </w:style>
  <w:style w:type="paragraph" w:styleId="42">
    <w:name w:val="index 1"/>
    <w:basedOn w:val="1"/>
    <w:next w:val="1"/>
    <w:qFormat/>
    <w:uiPriority w:val="99"/>
    <w:pPr>
      <w:adjustRightInd/>
      <w:snapToGrid w:val="0"/>
      <w:spacing w:line="240" w:lineRule="auto"/>
      <w:jc w:val="both"/>
      <w:textAlignment w:val="auto"/>
    </w:pPr>
    <w:rPr>
      <w:kern w:val="2"/>
      <w:sz w:val="21"/>
      <w:szCs w:val="21"/>
    </w:rPr>
  </w:style>
  <w:style w:type="paragraph" w:styleId="43">
    <w:name w:val="Title"/>
    <w:basedOn w:val="1"/>
    <w:link w:val="79"/>
    <w:qFormat/>
    <w:uiPriority w:val="99"/>
    <w:pPr>
      <w:adjustRightInd/>
      <w:spacing w:line="240" w:lineRule="auto"/>
      <w:ind w:left="-25" w:firstLine="0"/>
      <w:jc w:val="center"/>
      <w:textAlignment w:val="auto"/>
      <w:outlineLvl w:val="0"/>
    </w:pPr>
    <w:rPr>
      <w:b/>
      <w:kern w:val="2"/>
      <w:sz w:val="32"/>
    </w:rPr>
  </w:style>
  <w:style w:type="paragraph" w:styleId="44">
    <w:name w:val="annotation subject"/>
    <w:basedOn w:val="16"/>
    <w:next w:val="16"/>
    <w:link w:val="76"/>
    <w:qFormat/>
    <w:uiPriority w:val="99"/>
    <w:rPr>
      <w:b/>
      <w:bCs/>
    </w:rPr>
  </w:style>
  <w:style w:type="paragraph" w:styleId="45">
    <w:name w:val="Body Text First Indent"/>
    <w:basedOn w:val="19"/>
    <w:link w:val="283"/>
    <w:uiPriority w:val="0"/>
    <w:pPr>
      <w:adjustRightInd w:val="0"/>
      <w:spacing w:after="120" w:line="360" w:lineRule="auto"/>
      <w:ind w:firstLine="420" w:firstLineChars="100"/>
      <w:jc w:val="left"/>
      <w:textAlignment w:val="baseline"/>
    </w:pPr>
    <w:rPr>
      <w:kern w:val="0"/>
      <w:sz w:val="24"/>
    </w:rPr>
  </w:style>
  <w:style w:type="paragraph" w:styleId="46">
    <w:name w:val="Body Text First Indent 2"/>
    <w:basedOn w:val="20"/>
    <w:link w:val="202"/>
    <w:uiPriority w:val="0"/>
    <w:pPr>
      <w:adjustRightInd/>
      <w:spacing w:after="120" w:line="480" w:lineRule="exact"/>
      <w:ind w:left="200" w:leftChars="200" w:firstLine="200"/>
      <w:jc w:val="both"/>
      <w:textAlignment w:val="auto"/>
    </w:pPr>
    <w:rPr>
      <w:rFonts w:ascii="Times New Roman" w:hAnsi="Times New Roman"/>
      <w:kern w:val="2"/>
      <w:szCs w:val="20"/>
    </w:rPr>
  </w:style>
  <w:style w:type="table" w:styleId="48">
    <w:name w:val="Table Grid"/>
    <w:basedOn w:val="4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qFormat/>
    <w:uiPriority w:val="0"/>
    <w:rPr>
      <w:rFonts w:ascii="Times New Roman" w:hAnsi="Times New Roman" w:eastAsia="宋体" w:cs="Times New Roman"/>
      <w:b/>
      <w:bCs/>
    </w:rPr>
  </w:style>
  <w:style w:type="character" w:styleId="51">
    <w:name w:val="page number"/>
    <w:qFormat/>
    <w:uiPriority w:val="99"/>
    <w:rPr>
      <w:rFonts w:ascii="Times New Roman" w:hAnsi="Times New Roman" w:eastAsia="宋体" w:cs="Times New Roman"/>
    </w:rPr>
  </w:style>
  <w:style w:type="character" w:styleId="52">
    <w:name w:val="FollowedHyperlink"/>
    <w:qFormat/>
    <w:uiPriority w:val="99"/>
    <w:rPr>
      <w:rFonts w:ascii="Times New Roman" w:hAnsi="Times New Roman" w:eastAsia="宋体" w:cs="Times New Roman"/>
      <w:color w:val="800080"/>
      <w:u w:val="single"/>
    </w:rPr>
  </w:style>
  <w:style w:type="character" w:styleId="53">
    <w:name w:val="Emphasis"/>
    <w:basedOn w:val="49"/>
    <w:qFormat/>
    <w:uiPriority w:val="0"/>
    <w:rPr>
      <w:color w:val="CC0033"/>
    </w:rPr>
  </w:style>
  <w:style w:type="character" w:styleId="54">
    <w:name w:val="Hyperlink"/>
    <w:qFormat/>
    <w:uiPriority w:val="99"/>
    <w:rPr>
      <w:rFonts w:ascii="Times New Roman" w:hAnsi="Times New Roman" w:eastAsia="宋体" w:cs="Times New Roman"/>
      <w:color w:val="0000FF"/>
      <w:u w:val="single"/>
    </w:rPr>
  </w:style>
  <w:style w:type="character" w:styleId="55">
    <w:name w:val="annotation reference"/>
    <w:qFormat/>
    <w:uiPriority w:val="99"/>
    <w:rPr>
      <w:rFonts w:ascii="Times New Roman" w:hAnsi="Times New Roman" w:eastAsia="宋体" w:cs="Times New Roman"/>
      <w:sz w:val="21"/>
      <w:szCs w:val="21"/>
    </w:rPr>
  </w:style>
  <w:style w:type="character" w:styleId="56">
    <w:name w:val="HTML Cite"/>
    <w:uiPriority w:val="0"/>
    <w:rPr>
      <w:i/>
      <w:iCs/>
    </w:rPr>
  </w:style>
  <w:style w:type="character" w:customStyle="1" w:styleId="57">
    <w:name w:val="正文缩进 Char"/>
    <w:link w:val="12"/>
    <w:qFormat/>
    <w:uiPriority w:val="0"/>
    <w:rPr>
      <w:rFonts w:ascii="Times New Roman" w:hAnsi="Times New Roman" w:eastAsia="宋体" w:cs="Times New Roman"/>
      <w:sz w:val="24"/>
      <w:lang w:val="en-US" w:eastAsia="zh-CN" w:bidi="ar-SA"/>
    </w:rPr>
  </w:style>
  <w:style w:type="character" w:customStyle="1" w:styleId="58">
    <w:name w:val="纯文本 Char"/>
    <w:link w:val="25"/>
    <w:qFormat/>
    <w:uiPriority w:val="99"/>
    <w:rPr>
      <w:rFonts w:ascii="宋体" w:hAnsi="Courier New" w:eastAsia="宋体" w:cs="Times New Roman"/>
      <w:kern w:val="2"/>
      <w:sz w:val="21"/>
      <w:szCs w:val="21"/>
      <w:lang w:val="en-US" w:eastAsia="zh-CN" w:bidi="ar-SA"/>
    </w:rPr>
  </w:style>
  <w:style w:type="paragraph" w:customStyle="1" w:styleId="59">
    <w:name w:val="xl23"/>
    <w:basedOn w:val="1"/>
    <w:qFormat/>
    <w:uiPriority w:val="0"/>
    <w:pPr>
      <w:widowControl/>
      <w:adjustRightInd/>
      <w:spacing w:before="100" w:beforeAutospacing="1" w:after="100" w:afterAutospacing="1"/>
      <w:jc w:val="both"/>
      <w:textAlignment w:val="top"/>
    </w:pPr>
    <w:rPr>
      <w:szCs w:val="24"/>
    </w:rPr>
  </w:style>
  <w:style w:type="paragraph" w:customStyle="1" w:styleId="60">
    <w:name w:val="样式1"/>
    <w:basedOn w:val="1"/>
    <w:qFormat/>
    <w:uiPriority w:val="99"/>
    <w:pPr>
      <w:spacing w:line="240" w:lineRule="auto"/>
      <w:jc w:val="both"/>
    </w:pPr>
    <w:rPr>
      <w:rFonts w:ascii="宋体" w:hAnsi="宋体"/>
      <w:sz w:val="21"/>
      <w:szCs w:val="21"/>
    </w:rPr>
  </w:style>
  <w:style w:type="character" w:customStyle="1" w:styleId="61">
    <w:name w:val="列出段落 Char"/>
    <w:link w:val="62"/>
    <w:qFormat/>
    <w:uiPriority w:val="34"/>
    <w:rPr>
      <w:rFonts w:ascii="MetaPlusLF" w:hAnsi="MetaPlusLF" w:eastAsia="宋体" w:cs="Times New Roman"/>
    </w:rPr>
  </w:style>
  <w:style w:type="paragraph" w:customStyle="1" w:styleId="62">
    <w:name w:val="列出段落1"/>
    <w:basedOn w:val="1"/>
    <w:link w:val="61"/>
    <w:qFormat/>
    <w:uiPriority w:val="0"/>
    <w:pPr>
      <w:widowControl/>
      <w:adjustRightInd/>
      <w:spacing w:line="240" w:lineRule="auto"/>
      <w:ind w:firstLine="420"/>
      <w:textAlignment w:val="auto"/>
    </w:pPr>
    <w:rPr>
      <w:rFonts w:ascii="MetaPlusLF" w:hAnsi="MetaPlusLF"/>
      <w:sz w:val="20"/>
    </w:rPr>
  </w:style>
  <w:style w:type="character" w:customStyle="1" w:styleId="63">
    <w:name w:val="tcnt3"/>
    <w:qFormat/>
    <w:uiPriority w:val="0"/>
    <w:rPr>
      <w:rFonts w:ascii="Times New Roman" w:hAnsi="Times New Roman" w:eastAsia="宋体" w:cs="Times New Roman"/>
    </w:rPr>
  </w:style>
  <w:style w:type="character" w:customStyle="1" w:styleId="64">
    <w:name w:val="HTML 预设格式 Char"/>
    <w:link w:val="40"/>
    <w:qFormat/>
    <w:uiPriority w:val="0"/>
    <w:rPr>
      <w:rFonts w:ascii="宋体" w:hAnsi="宋体" w:eastAsia="宋体" w:cs="宋体"/>
      <w:sz w:val="24"/>
      <w:szCs w:val="24"/>
      <w:lang w:val="en-US" w:eastAsia="zh-CN" w:bidi="ar-SA"/>
    </w:rPr>
  </w:style>
  <w:style w:type="paragraph" w:customStyle="1" w:styleId="65">
    <w:name w:val="样式 首行缩进:  2 字符"/>
    <w:basedOn w:val="1"/>
    <w:link w:val="168"/>
    <w:qFormat/>
    <w:uiPriority w:val="0"/>
    <w:pPr>
      <w:adjustRightInd/>
      <w:spacing w:line="480" w:lineRule="exact"/>
      <w:ind w:firstLine="560"/>
      <w:jc w:val="both"/>
      <w:textAlignment w:val="auto"/>
    </w:pPr>
    <w:rPr>
      <w:rFonts w:eastAsia="仿宋_GB2312" w:cs="宋体"/>
      <w:kern w:val="2"/>
      <w:sz w:val="28"/>
      <w:szCs w:val="28"/>
    </w:rPr>
  </w:style>
  <w:style w:type="paragraph" w:customStyle="1" w:styleId="66">
    <w:name w:val="TOC 标题1"/>
    <w:basedOn w:val="2"/>
    <w:next w:val="1"/>
    <w:qFormat/>
    <w:uiPriority w:val="0"/>
    <w:pPr>
      <w:widowControl/>
      <w:numPr>
        <w:numId w:val="0"/>
      </w:numPr>
      <w:adjustRightInd/>
      <w:spacing w:before="480" w:after="0" w:line="276" w:lineRule="auto"/>
      <w:textAlignment w:val="auto"/>
      <w:outlineLvl w:val="9"/>
    </w:pPr>
    <w:rPr>
      <w:rFonts w:ascii="Cambria" w:hAnsi="Cambria"/>
      <w:color w:val="365F91"/>
      <w:kern w:val="0"/>
    </w:rPr>
  </w:style>
  <w:style w:type="character" w:customStyle="1" w:styleId="67">
    <w:name w:val="标题 2 Char"/>
    <w:link w:val="3"/>
    <w:qFormat/>
    <w:uiPriority w:val="99"/>
    <w:rPr>
      <w:rFonts w:ascii="宋体" w:hAnsi="宋体"/>
      <w:b/>
      <w:bCs/>
      <w:sz w:val="28"/>
      <w:szCs w:val="28"/>
    </w:rPr>
  </w:style>
  <w:style w:type="paragraph" w:customStyle="1" w:styleId="68">
    <w:name w:val="列出段落2"/>
    <w:basedOn w:val="1"/>
    <w:qFormat/>
    <w:uiPriority w:val="34"/>
    <w:pPr>
      <w:adjustRightInd/>
      <w:spacing w:line="240" w:lineRule="auto"/>
      <w:ind w:firstLine="420"/>
      <w:jc w:val="both"/>
      <w:textAlignment w:val="auto"/>
    </w:pPr>
    <w:rPr>
      <w:kern w:val="2"/>
      <w:sz w:val="21"/>
      <w:szCs w:val="24"/>
    </w:rPr>
  </w:style>
  <w:style w:type="character" w:customStyle="1" w:styleId="69">
    <w:name w:val="标题 4 Char"/>
    <w:link w:val="5"/>
    <w:qFormat/>
    <w:uiPriority w:val="99"/>
    <w:rPr>
      <w:rFonts w:ascii="Arial" w:hAnsi="Arial" w:eastAsia="黑体" w:cs="Times New Roman"/>
      <w:b/>
      <w:bCs/>
      <w:sz w:val="28"/>
      <w:szCs w:val="28"/>
    </w:rPr>
  </w:style>
  <w:style w:type="character" w:customStyle="1" w:styleId="70">
    <w:name w:val="仿宋小四 Char"/>
    <w:link w:val="71"/>
    <w:qFormat/>
    <w:uiPriority w:val="0"/>
    <w:rPr>
      <w:rFonts w:ascii="仿宋_GB2312" w:hAnsi="Times New Roman" w:eastAsia="仿宋_GB2312" w:cs="Times New Roman"/>
      <w:sz w:val="24"/>
      <w:szCs w:val="24"/>
      <w:lang w:bidi="ar-SA"/>
    </w:rPr>
  </w:style>
  <w:style w:type="paragraph" w:customStyle="1" w:styleId="71">
    <w:name w:val="仿宋小四"/>
    <w:basedOn w:val="1"/>
    <w:link w:val="70"/>
    <w:qFormat/>
    <w:uiPriority w:val="0"/>
    <w:pPr>
      <w:adjustRightInd/>
      <w:spacing w:line="500" w:lineRule="exact"/>
      <w:jc w:val="both"/>
      <w:textAlignment w:val="auto"/>
    </w:pPr>
    <w:rPr>
      <w:rFonts w:ascii="仿宋_GB2312" w:eastAsia="仿宋_GB2312"/>
      <w:szCs w:val="24"/>
    </w:rPr>
  </w:style>
  <w:style w:type="paragraph" w:customStyle="1" w:styleId="72">
    <w:name w:val="图文"/>
    <w:basedOn w:val="1"/>
    <w:qFormat/>
    <w:uiPriority w:val="0"/>
    <w:pPr>
      <w:snapToGrid w:val="0"/>
      <w:spacing w:after="50"/>
      <w:jc w:val="both"/>
      <w:textAlignment w:val="auto"/>
    </w:pPr>
    <w:rPr>
      <w:kern w:val="2"/>
      <w:szCs w:val="24"/>
    </w:rPr>
  </w:style>
  <w:style w:type="paragraph" w:customStyle="1" w:styleId="73">
    <w:name w:val="图中文字"/>
    <w:basedOn w:val="1"/>
    <w:qFormat/>
    <w:uiPriority w:val="0"/>
    <w:pPr>
      <w:snapToGrid w:val="0"/>
      <w:spacing w:line="0" w:lineRule="atLeast"/>
      <w:jc w:val="center"/>
      <w:textAlignment w:val="auto"/>
    </w:pPr>
    <w:rPr>
      <w:kern w:val="2"/>
    </w:rPr>
  </w:style>
  <w:style w:type="paragraph" w:customStyle="1" w:styleId="74">
    <w:name w:val="表格1"/>
    <w:basedOn w:val="1"/>
    <w:qFormat/>
    <w:uiPriority w:val="0"/>
    <w:pPr>
      <w:adjustRightInd/>
      <w:spacing w:line="240" w:lineRule="auto"/>
      <w:jc w:val="center"/>
      <w:textAlignment w:val="auto"/>
    </w:pPr>
    <w:rPr>
      <w:kern w:val="2"/>
    </w:rPr>
  </w:style>
  <w:style w:type="character" w:customStyle="1" w:styleId="75">
    <w:name w:val="批注文字 Char"/>
    <w:link w:val="16"/>
    <w:qFormat/>
    <w:uiPriority w:val="99"/>
    <w:rPr>
      <w:rFonts w:ascii="Times New Roman" w:hAnsi="Times New Roman" w:eastAsia="宋体" w:cs="Times New Roman"/>
      <w:sz w:val="24"/>
      <w:lang w:val="en-US" w:eastAsia="zh-CN" w:bidi="ar-SA"/>
    </w:rPr>
  </w:style>
  <w:style w:type="character" w:customStyle="1" w:styleId="76">
    <w:name w:val="批注主题 Char"/>
    <w:link w:val="44"/>
    <w:qFormat/>
    <w:uiPriority w:val="99"/>
    <w:rPr>
      <w:rFonts w:ascii="Times New Roman" w:hAnsi="Times New Roman" w:eastAsia="宋体" w:cs="Times New Roman"/>
      <w:b/>
      <w:bCs/>
      <w:sz w:val="24"/>
      <w:lang w:val="en-US" w:eastAsia="zh-CN" w:bidi="ar-SA"/>
    </w:rPr>
  </w:style>
  <w:style w:type="character" w:customStyle="1" w:styleId="77">
    <w:name w:val="chanpin拷贝"/>
    <w:qFormat/>
    <w:uiPriority w:val="0"/>
    <w:rPr>
      <w:rFonts w:ascii="Times New Roman" w:hAnsi="Times New Roman" w:eastAsia="宋体" w:cs="Times New Roman"/>
    </w:rPr>
  </w:style>
  <w:style w:type="character" w:customStyle="1" w:styleId="78">
    <w:name w:val="h3 Char"/>
    <w:qFormat/>
    <w:uiPriority w:val="0"/>
    <w:rPr>
      <w:rFonts w:ascii="Times New Roman" w:hAnsi="Times New Roman" w:eastAsia="宋体" w:cs="Times New Roman"/>
      <w:b/>
      <w:bCs/>
      <w:sz w:val="32"/>
      <w:szCs w:val="32"/>
      <w:lang w:val="en-US" w:eastAsia="zh-CN" w:bidi="ar-SA"/>
    </w:rPr>
  </w:style>
  <w:style w:type="character" w:customStyle="1" w:styleId="79">
    <w:name w:val="标题 Char"/>
    <w:link w:val="43"/>
    <w:qFormat/>
    <w:uiPriority w:val="99"/>
    <w:rPr>
      <w:b/>
      <w:kern w:val="2"/>
      <w:sz w:val="32"/>
    </w:rPr>
  </w:style>
  <w:style w:type="character" w:customStyle="1" w:styleId="80">
    <w:name w:val="称呼 Char"/>
    <w:link w:val="17"/>
    <w:qFormat/>
    <w:uiPriority w:val="0"/>
    <w:rPr>
      <w:rFonts w:ascii="宋体" w:hAnsi="宋体" w:eastAsia="宋体" w:cs="Times New Roman"/>
      <w:b/>
      <w:snapToGrid w:val="0"/>
      <w:sz w:val="24"/>
      <w:szCs w:val="24"/>
      <w:lang w:val="en-US" w:eastAsia="en-US"/>
    </w:rPr>
  </w:style>
  <w:style w:type="character" w:customStyle="1" w:styleId="81">
    <w:name w:val="样式1 Char"/>
    <w:qFormat/>
    <w:uiPriority w:val="0"/>
    <w:rPr>
      <w:rFonts w:ascii="宋体" w:hAnsi="宋体" w:eastAsia="宋体" w:cs="Times New Roman"/>
      <w:sz w:val="21"/>
      <w:szCs w:val="21"/>
      <w:lang w:val="en-US" w:eastAsia="zh-CN" w:bidi="ar-SA"/>
    </w:rPr>
  </w:style>
  <w:style w:type="paragraph" w:customStyle="1" w:styleId="82">
    <w:name w:val="样式2"/>
    <w:basedOn w:val="1"/>
    <w:link w:val="83"/>
    <w:qFormat/>
    <w:uiPriority w:val="0"/>
    <w:pPr>
      <w:tabs>
        <w:tab w:val="left" w:pos="567"/>
      </w:tabs>
      <w:spacing w:line="240" w:lineRule="auto"/>
      <w:ind w:left="567" w:hanging="567"/>
      <w:jc w:val="both"/>
    </w:pPr>
    <w:rPr>
      <w:rFonts w:ascii="宋体" w:hAnsi="宋体"/>
      <w:sz w:val="21"/>
      <w:szCs w:val="21"/>
    </w:rPr>
  </w:style>
  <w:style w:type="character" w:customStyle="1" w:styleId="83">
    <w:name w:val="样式2 Char"/>
    <w:link w:val="82"/>
    <w:qFormat/>
    <w:uiPriority w:val="0"/>
    <w:rPr>
      <w:rFonts w:ascii="宋体" w:hAnsi="宋体" w:eastAsia="宋体" w:cs="Times New Roman"/>
      <w:sz w:val="21"/>
      <w:szCs w:val="21"/>
      <w:lang w:val="en-US" w:eastAsia="zh-CN" w:bidi="ar-SA"/>
    </w:rPr>
  </w:style>
  <w:style w:type="character" w:customStyle="1" w:styleId="84">
    <w:name w:val="chanpin1"/>
    <w:qFormat/>
    <w:uiPriority w:val="0"/>
    <w:rPr>
      <w:rFonts w:hint="default" w:ascii="ˎ̥" w:hAnsi="ˎ̥" w:eastAsia="宋体" w:cs="Times New Roman"/>
      <w:color w:val="000000"/>
      <w:sz w:val="20"/>
      <w:szCs w:val="20"/>
      <w:u w:val="none"/>
    </w:rPr>
  </w:style>
  <w:style w:type="character" w:customStyle="1" w:styleId="85">
    <w:name w:val="c21"/>
    <w:qFormat/>
    <w:uiPriority w:val="0"/>
    <w:rPr>
      <w:rFonts w:hint="default" w:ascii="ˎ̥" w:hAnsi="ˎ̥" w:eastAsia="宋体" w:cs="Times New Roman"/>
      <w:color w:val="000000"/>
      <w:sz w:val="20"/>
      <w:szCs w:val="20"/>
      <w:u w:val="none"/>
    </w:rPr>
  </w:style>
  <w:style w:type="paragraph" w:customStyle="1" w:styleId="86">
    <w:name w:val="内加粗"/>
    <w:basedOn w:val="1"/>
    <w:link w:val="87"/>
    <w:qFormat/>
    <w:uiPriority w:val="0"/>
    <w:pPr>
      <w:adjustRightInd/>
      <w:spacing w:line="560" w:lineRule="exact"/>
      <w:ind w:firstLine="482"/>
      <w:textAlignment w:val="auto"/>
    </w:pPr>
    <w:rPr>
      <w:rFonts w:ascii="宋体" w:hAnsi="宋体"/>
      <w:b/>
      <w:szCs w:val="28"/>
    </w:rPr>
  </w:style>
  <w:style w:type="character" w:customStyle="1" w:styleId="87">
    <w:name w:val="内加粗 Char"/>
    <w:link w:val="86"/>
    <w:qFormat/>
    <w:uiPriority w:val="0"/>
    <w:rPr>
      <w:rFonts w:ascii="宋体" w:hAnsi="宋体" w:eastAsia="宋体" w:cs="宋体"/>
      <w:b/>
      <w:sz w:val="24"/>
      <w:szCs w:val="28"/>
    </w:rPr>
  </w:style>
  <w:style w:type="paragraph" w:customStyle="1" w:styleId="88">
    <w:name w:val="内文"/>
    <w:basedOn w:val="1"/>
    <w:link w:val="89"/>
    <w:qFormat/>
    <w:uiPriority w:val="0"/>
    <w:pPr>
      <w:adjustRightInd/>
      <w:spacing w:line="560" w:lineRule="exact"/>
      <w:ind w:firstLine="200"/>
      <w:textAlignment w:val="auto"/>
    </w:pPr>
    <w:rPr>
      <w:rFonts w:ascii="宋体" w:hAnsi="宋体"/>
      <w:szCs w:val="28"/>
    </w:rPr>
  </w:style>
  <w:style w:type="character" w:customStyle="1" w:styleId="89">
    <w:name w:val="内文 Char"/>
    <w:link w:val="88"/>
    <w:qFormat/>
    <w:uiPriority w:val="0"/>
    <w:rPr>
      <w:rFonts w:ascii="宋体" w:hAnsi="宋体" w:eastAsia="宋体" w:cs="宋体"/>
      <w:sz w:val="24"/>
      <w:szCs w:val="28"/>
    </w:rPr>
  </w:style>
  <w:style w:type="character" w:customStyle="1" w:styleId="90">
    <w:name w:val="称呼 Char1"/>
    <w:qFormat/>
    <w:uiPriority w:val="0"/>
    <w:rPr>
      <w:rFonts w:ascii="Times New Roman" w:hAnsi="Times New Roman" w:eastAsia="宋体" w:cs="Times New Roman"/>
      <w:sz w:val="24"/>
    </w:rPr>
  </w:style>
  <w:style w:type="paragraph" w:customStyle="1" w:styleId="91">
    <w:name w:val="样式 宋体 五号 两端对齐 行距: 单倍行距"/>
    <w:basedOn w:val="1"/>
    <w:qFormat/>
    <w:uiPriority w:val="0"/>
    <w:pPr>
      <w:spacing w:line="240" w:lineRule="auto"/>
      <w:jc w:val="both"/>
    </w:pPr>
    <w:rPr>
      <w:rFonts w:ascii="宋体" w:hAnsi="宋体"/>
      <w:sz w:val="21"/>
    </w:rPr>
  </w:style>
  <w:style w:type="paragraph" w:customStyle="1" w:styleId="92">
    <w:name w:val="PMstyle"/>
    <w:qFormat/>
    <w:uiPriority w:val="0"/>
    <w:rPr>
      <w:rFonts w:ascii="Tahoma" w:hAnsi="Tahoma" w:eastAsia="宋体" w:cs="Times New Roman"/>
      <w:sz w:val="22"/>
      <w:lang w:val="en-US" w:eastAsia="zh-CN" w:bidi="ar-SA"/>
    </w:rPr>
  </w:style>
  <w:style w:type="paragraph" w:customStyle="1" w:styleId="93">
    <w:name w:val="样式 标题 2 + 宋体 五号 非加粗 黑色"/>
    <w:basedOn w:val="3"/>
    <w:qFormat/>
    <w:uiPriority w:val="0"/>
    <w:pPr>
      <w:tabs>
        <w:tab w:val="left" w:pos="1140"/>
      </w:tabs>
      <w:ind w:left="1140" w:hanging="720"/>
    </w:pPr>
    <w:rPr>
      <w:b w:val="0"/>
      <w:bCs w:val="0"/>
      <w:color w:val="000000"/>
      <w:sz w:val="21"/>
    </w:rPr>
  </w:style>
  <w:style w:type="paragraph" w:customStyle="1" w:styleId="94">
    <w:name w:val="样式 样式 标题 2 + 宋体 五号 非加粗 黑色 + 段前: 6 磅 段后: 0 磅 行距: 单倍行距"/>
    <w:basedOn w:val="93"/>
    <w:uiPriority w:val="0"/>
    <w:pPr>
      <w:spacing w:before="120" w:after="0" w:line="240" w:lineRule="auto"/>
    </w:pPr>
    <w:rPr>
      <w:rFonts w:ascii="Times New Roman" w:hAnsi="Times New Roman"/>
      <w:szCs w:val="20"/>
    </w:rPr>
  </w:style>
  <w:style w:type="paragraph" w:customStyle="1" w:styleId="95">
    <w:name w:val="样式 样式 样式 标题 2 + 宋体 五号 非加粗 黑色 + 段前: 6 磅 段后: 0 磅 行距: 单倍行距 + 段前: 12..."/>
    <w:basedOn w:val="94"/>
    <w:qFormat/>
    <w:uiPriority w:val="0"/>
    <w:pPr>
      <w:spacing w:before="240"/>
    </w:pPr>
  </w:style>
  <w:style w:type="paragraph" w:customStyle="1" w:styleId="96">
    <w:name w:val="样式6"/>
    <w:basedOn w:val="3"/>
    <w:uiPriority w:val="0"/>
    <w:pPr>
      <w:adjustRightInd/>
      <w:spacing w:before="0" w:after="0" w:line="560" w:lineRule="exact"/>
      <w:jc w:val="both"/>
      <w:textAlignment w:val="auto"/>
    </w:pPr>
    <w:rPr>
      <w:rFonts w:ascii="Times New Roman" w:hAnsi="Times New Roman"/>
      <w:b w:val="0"/>
      <w:kern w:val="2"/>
    </w:rPr>
  </w:style>
  <w:style w:type="paragraph" w:customStyle="1" w:styleId="97">
    <w:name w:val="样式 样式 样式 样式 标题 2 + 宋体 五号 非加粗 黑色 + 段前: 6 磅 段后: 0 磅 行距: 单倍行距 + 段前:..."/>
    <w:basedOn w:val="95"/>
    <w:uiPriority w:val="0"/>
    <w:rPr>
      <w:b/>
      <w:bCs/>
    </w:rPr>
  </w:style>
  <w:style w:type="paragraph" w:customStyle="1" w:styleId="98">
    <w:name w:val="PMtextBullet"/>
    <w:basedOn w:val="92"/>
    <w:uiPriority w:val="0"/>
    <w:pPr>
      <w:tabs>
        <w:tab w:val="left" w:pos="2520"/>
      </w:tabs>
      <w:spacing w:after="200"/>
      <w:ind w:left="2520" w:firstLine="288"/>
    </w:pPr>
    <w:rPr>
      <w:rFonts w:ascii="Times New Roman" w:hAnsi="Times New Roman"/>
    </w:rPr>
  </w:style>
  <w:style w:type="paragraph" w:customStyle="1" w:styleId="99">
    <w:name w:val="PMletterText"/>
    <w:basedOn w:val="92"/>
    <w:uiPriority w:val="0"/>
    <w:pPr>
      <w:spacing w:before="240"/>
      <w:ind w:left="720"/>
    </w:pPr>
    <w:rPr>
      <w:rFonts w:ascii="Times New Roman" w:hAnsi="Times New Roman"/>
    </w:rPr>
  </w:style>
  <w:style w:type="paragraph" w:customStyle="1" w:styleId="100">
    <w:name w:val="PMletterTextBullet"/>
    <w:basedOn w:val="99"/>
    <w:uiPriority w:val="0"/>
    <w:pPr>
      <w:tabs>
        <w:tab w:val="left" w:pos="840"/>
        <w:tab w:val="left" w:pos="1800"/>
      </w:tabs>
      <w:ind w:left="1800" w:hanging="360"/>
    </w:pPr>
  </w:style>
  <w:style w:type="paragraph" w:customStyle="1" w:styleId="101">
    <w:name w:val="样式 标题 5 + 段前: 5 磅 段后: 5 磅 行距: 单倍行距"/>
    <w:basedOn w:val="6"/>
    <w:uiPriority w:val="0"/>
    <w:pPr>
      <w:tabs>
        <w:tab w:val="left" w:pos="2100"/>
      </w:tabs>
      <w:spacing w:before="100" w:after="100" w:line="240" w:lineRule="auto"/>
      <w:ind w:left="2100" w:hanging="420"/>
    </w:pPr>
    <w:rPr>
      <w:szCs w:val="20"/>
    </w:rPr>
  </w:style>
  <w:style w:type="paragraph" w:customStyle="1" w:styleId="102">
    <w:name w:val="Char Char Char Char"/>
    <w:basedOn w:val="1"/>
    <w:uiPriority w:val="0"/>
    <w:pPr>
      <w:adjustRightInd/>
      <w:spacing w:line="240" w:lineRule="auto"/>
      <w:jc w:val="both"/>
      <w:textAlignment w:val="auto"/>
    </w:pPr>
    <w:rPr>
      <w:rFonts w:ascii="Tahoma" w:hAnsi="Tahoma"/>
      <w:kern w:val="2"/>
    </w:rPr>
  </w:style>
  <w:style w:type="paragraph" w:customStyle="1" w:styleId="103">
    <w:name w:val="xl27"/>
    <w:basedOn w:val="1"/>
    <w:uiPriority w:val="0"/>
    <w:pPr>
      <w:widowControl/>
      <w:adjustRightInd/>
      <w:spacing w:before="100" w:beforeAutospacing="1" w:after="100" w:afterAutospacing="1" w:line="240" w:lineRule="auto"/>
      <w:jc w:val="center"/>
      <w:textAlignment w:val="auto"/>
    </w:pPr>
    <w:rPr>
      <w:rFonts w:ascii="Arial Unicode MS" w:hAnsi="Arial Unicode MS" w:eastAsia="Arial Unicode MS" w:cs="Arial Unicode MS"/>
      <w:szCs w:val="24"/>
    </w:rPr>
  </w:style>
  <w:style w:type="paragraph" w:customStyle="1" w:styleId="104">
    <w:name w:val="样式 标题 2 + 宋体 五号 行距: 单倍行距"/>
    <w:basedOn w:val="3"/>
    <w:uiPriority w:val="0"/>
    <w:pPr>
      <w:tabs>
        <w:tab w:val="left" w:pos="1140"/>
      </w:tabs>
      <w:spacing w:line="240" w:lineRule="auto"/>
      <w:ind w:left="1140" w:hanging="720"/>
    </w:pPr>
    <w:rPr>
      <w:sz w:val="21"/>
      <w:szCs w:val="20"/>
    </w:rPr>
  </w:style>
  <w:style w:type="paragraph" w:customStyle="1" w:styleId="105">
    <w:name w:val="默认段落字体 Para Char Char Char Char"/>
    <w:basedOn w:val="1"/>
    <w:uiPriority w:val="0"/>
    <w:pPr>
      <w:adjustRightInd/>
      <w:spacing w:line="240" w:lineRule="auto"/>
      <w:jc w:val="both"/>
      <w:textAlignment w:val="auto"/>
    </w:pPr>
    <w:rPr>
      <w:rFonts w:ascii="Arial" w:hAnsi="Arial" w:cs="Arial"/>
      <w:kern w:val="2"/>
      <w:sz w:val="21"/>
      <w:szCs w:val="21"/>
    </w:rPr>
  </w:style>
  <w:style w:type="paragraph" w:customStyle="1" w:styleId="106">
    <w:name w:val="样式 宋体 五号 行距: 单倍行距"/>
    <w:basedOn w:val="1"/>
    <w:qFormat/>
    <w:uiPriority w:val="0"/>
    <w:pPr>
      <w:spacing w:line="240" w:lineRule="auto"/>
    </w:pPr>
    <w:rPr>
      <w:rFonts w:ascii="宋体" w:hAnsi="宋体"/>
      <w:sz w:val="21"/>
    </w:rPr>
  </w:style>
  <w:style w:type="paragraph" w:customStyle="1" w:styleId="107">
    <w:name w:val="样式 宋体 五号 两端对齐 行距: 单倍行距1"/>
    <w:basedOn w:val="1"/>
    <w:qFormat/>
    <w:uiPriority w:val="0"/>
    <w:pPr>
      <w:spacing w:line="240" w:lineRule="auto"/>
      <w:jc w:val="both"/>
    </w:pPr>
    <w:rPr>
      <w:rFonts w:ascii="宋体" w:hAnsi="宋体"/>
      <w:sz w:val="21"/>
    </w:rPr>
  </w:style>
  <w:style w:type="paragraph" w:customStyle="1" w:styleId="108">
    <w:name w:val="样式 标题 3h3H3sect1.2.3 + 五号 段前: 6 磅 段后: 6 磅 行距: 单倍行距"/>
    <w:basedOn w:val="4"/>
    <w:qFormat/>
    <w:uiPriority w:val="0"/>
    <w:pPr>
      <w:tabs>
        <w:tab w:val="left" w:pos="1260"/>
      </w:tabs>
      <w:spacing w:before="120" w:after="120" w:line="240" w:lineRule="auto"/>
      <w:ind w:left="1260" w:hanging="420"/>
    </w:pPr>
    <w:rPr>
      <w:rFonts w:ascii="Times New Roman" w:hAnsi="Times New Roman"/>
      <w:sz w:val="21"/>
      <w:szCs w:val="20"/>
    </w:rPr>
  </w:style>
  <w:style w:type="paragraph" w:customStyle="1" w:styleId="109">
    <w:name w:val="样式 样式 标题 5 + 段前: 5 磅 段后: 5 磅 行距: 单倍行距 + 五号"/>
    <w:basedOn w:val="101"/>
    <w:qFormat/>
    <w:uiPriority w:val="0"/>
    <w:rPr>
      <w:sz w:val="21"/>
    </w:rPr>
  </w:style>
  <w:style w:type="paragraph" w:customStyle="1" w:styleId="110">
    <w:name w:val="样式 标题 1 + 四号 居中 段前: 12 磅 段后: 12 磅 行距: 单倍行距"/>
    <w:basedOn w:val="2"/>
    <w:qFormat/>
    <w:uiPriority w:val="0"/>
    <w:pPr>
      <w:spacing w:before="240" w:after="240" w:line="240" w:lineRule="auto"/>
    </w:pPr>
    <w:rPr>
      <w:szCs w:val="20"/>
    </w:rPr>
  </w:style>
  <w:style w:type="paragraph" w:customStyle="1" w:styleId="111">
    <w:name w:val="样式5"/>
    <w:basedOn w:val="2"/>
    <w:qFormat/>
    <w:uiPriority w:val="0"/>
    <w:pPr>
      <w:numPr>
        <w:numId w:val="0"/>
      </w:numPr>
      <w:adjustRightInd/>
      <w:spacing w:line="576" w:lineRule="auto"/>
      <w:jc w:val="both"/>
      <w:textAlignment w:val="auto"/>
    </w:pPr>
  </w:style>
  <w:style w:type="paragraph" w:customStyle="1" w:styleId="112">
    <w:name w:val="Body Text 21"/>
    <w:basedOn w:val="1"/>
    <w:qFormat/>
    <w:uiPriority w:val="0"/>
    <w:pPr>
      <w:spacing w:before="240" w:line="400" w:lineRule="exact"/>
      <w:ind w:firstLine="357"/>
      <w:jc w:val="both"/>
    </w:pPr>
    <w:rPr>
      <w:kern w:val="2"/>
      <w:sz w:val="28"/>
    </w:rPr>
  </w:style>
  <w:style w:type="paragraph" w:customStyle="1" w:styleId="113">
    <w:name w:val="Body Text Indent 21"/>
    <w:basedOn w:val="1"/>
    <w:qFormat/>
    <w:uiPriority w:val="0"/>
    <w:pPr>
      <w:spacing w:line="240" w:lineRule="auto"/>
      <w:ind w:left="720" w:hanging="720"/>
      <w:jc w:val="both"/>
    </w:pPr>
    <w:rPr>
      <w:b/>
      <w:kern w:val="2"/>
      <w:sz w:val="28"/>
    </w:rPr>
  </w:style>
  <w:style w:type="paragraph" w:customStyle="1" w:styleId="114">
    <w:name w:val="样式 标题 4 + 段前: 5 磅 段后: 5 磅 行距: 单倍行距"/>
    <w:basedOn w:val="5"/>
    <w:qFormat/>
    <w:uiPriority w:val="0"/>
    <w:pPr>
      <w:tabs>
        <w:tab w:val="left" w:pos="1680"/>
      </w:tabs>
      <w:spacing w:before="100" w:after="100" w:line="240" w:lineRule="auto"/>
      <w:ind w:left="1680" w:hanging="420"/>
    </w:pPr>
    <w:rPr>
      <w:rFonts w:ascii="Times New Roman" w:hAnsi="Times New Roman" w:eastAsia="宋体"/>
      <w:szCs w:val="20"/>
    </w:rPr>
  </w:style>
  <w:style w:type="paragraph" w:customStyle="1" w:styleId="115">
    <w:name w:val="Char Char Char Char Char Char Char Char Char Char"/>
    <w:basedOn w:val="1"/>
    <w:qFormat/>
    <w:uiPriority w:val="0"/>
    <w:pPr>
      <w:widowControl/>
      <w:adjustRightInd/>
      <w:spacing w:after="160" w:line="240" w:lineRule="exact"/>
      <w:textAlignment w:val="auto"/>
    </w:pPr>
  </w:style>
  <w:style w:type="paragraph" w:customStyle="1" w:styleId="116">
    <w:name w:val="Char1 Char Char Char"/>
    <w:basedOn w:val="1"/>
    <w:qFormat/>
    <w:uiPriority w:val="0"/>
    <w:pPr>
      <w:adjustRightInd/>
      <w:spacing w:line="240" w:lineRule="auto"/>
      <w:jc w:val="both"/>
      <w:textAlignment w:val="auto"/>
    </w:pPr>
    <w:rPr>
      <w:rFonts w:ascii="Tahoma" w:hAnsi="Tahoma"/>
      <w:kern w:val="2"/>
    </w:rPr>
  </w:style>
  <w:style w:type="paragraph" w:customStyle="1" w:styleId="117">
    <w:name w:val="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118">
    <w:name w:val="Char Char Char Char Char Char Char Char Char Char Char Char Char"/>
    <w:basedOn w:val="1"/>
    <w:qFormat/>
    <w:uiPriority w:val="0"/>
    <w:pPr>
      <w:widowControl/>
      <w:adjustRightInd/>
      <w:spacing w:after="160" w:line="240" w:lineRule="exact"/>
      <w:textAlignment w:val="auto"/>
    </w:pPr>
    <w:rPr>
      <w:rFonts w:ascii="Verdana" w:hAnsi="Verdana"/>
      <w:sz w:val="20"/>
      <w:lang w:eastAsia="en-US"/>
    </w:rPr>
  </w:style>
  <w:style w:type="paragraph" w:customStyle="1" w:styleId="119">
    <w:name w:val="样式4"/>
    <w:basedOn w:val="37"/>
    <w:qFormat/>
    <w:uiPriority w:val="0"/>
    <w:pPr>
      <w:adjustRightInd/>
      <w:ind w:left="420"/>
      <w:jc w:val="both"/>
      <w:textAlignment w:val="auto"/>
    </w:pPr>
    <w:rPr>
      <w:kern w:val="2"/>
      <w:sz w:val="28"/>
    </w:rPr>
  </w:style>
  <w:style w:type="paragraph" w:customStyle="1" w:styleId="120">
    <w:name w:val="样式 样式 标题 4 + 段前: 5 磅 段后: 5 磅 行距: 单倍行距 + 五号"/>
    <w:basedOn w:val="114"/>
    <w:qFormat/>
    <w:uiPriority w:val="0"/>
    <w:rPr>
      <w:sz w:val="21"/>
    </w:rPr>
  </w:style>
  <w:style w:type="paragraph" w:customStyle="1" w:styleId="121">
    <w:name w:val="Char2"/>
    <w:basedOn w:val="1"/>
    <w:qFormat/>
    <w:uiPriority w:val="0"/>
    <w:pPr>
      <w:widowControl/>
      <w:adjustRightInd/>
      <w:spacing w:after="160" w:line="240" w:lineRule="exact"/>
      <w:textAlignment w:val="auto"/>
    </w:pPr>
    <w:rPr>
      <w:kern w:val="2"/>
      <w:sz w:val="21"/>
      <w:szCs w:val="24"/>
    </w:rPr>
  </w:style>
  <w:style w:type="paragraph" w:customStyle="1" w:styleId="122">
    <w:name w:val="Char Char Char"/>
    <w:basedOn w:val="1"/>
    <w:qFormat/>
    <w:uiPriority w:val="0"/>
    <w:pPr>
      <w:adjustRightInd/>
      <w:spacing w:line="240" w:lineRule="auto"/>
      <w:jc w:val="both"/>
      <w:textAlignment w:val="auto"/>
    </w:pPr>
    <w:rPr>
      <w:rFonts w:ascii="Tahoma" w:hAnsi="Tahoma"/>
      <w:kern w:val="2"/>
    </w:rPr>
  </w:style>
  <w:style w:type="paragraph" w:customStyle="1" w:styleId="123">
    <w:name w:val="正文列项_字母"/>
    <w:basedOn w:val="1"/>
    <w:qFormat/>
    <w:uiPriority w:val="0"/>
    <w:pPr>
      <w:autoSpaceDE w:val="0"/>
      <w:autoSpaceDN w:val="0"/>
      <w:adjustRightInd/>
      <w:spacing w:line="460" w:lineRule="exact"/>
      <w:ind w:left="480" w:leftChars="300" w:hanging="180" w:hangingChars="180"/>
      <w:jc w:val="both"/>
      <w:textAlignment w:val="auto"/>
      <w:outlineLvl w:val="6"/>
    </w:pPr>
    <w:rPr>
      <w:rFonts w:ascii="宋体"/>
      <w:sz w:val="28"/>
    </w:rPr>
  </w:style>
  <w:style w:type="paragraph" w:customStyle="1" w:styleId="124">
    <w:name w:val="正文列项_数字"/>
    <w:basedOn w:val="1"/>
    <w:qFormat/>
    <w:uiPriority w:val="0"/>
    <w:pPr>
      <w:autoSpaceDE w:val="0"/>
      <w:autoSpaceDN w:val="0"/>
      <w:adjustRightInd/>
      <w:spacing w:line="460" w:lineRule="exact"/>
      <w:ind w:left="680" w:leftChars="530" w:hanging="150" w:hangingChars="150"/>
      <w:jc w:val="both"/>
      <w:textAlignment w:val="auto"/>
      <w:outlineLvl w:val="7"/>
    </w:pPr>
    <w:rPr>
      <w:rFonts w:ascii="宋体"/>
      <w:sz w:val="28"/>
    </w:rPr>
  </w:style>
  <w:style w:type="paragraph" w:customStyle="1" w:styleId="125">
    <w:name w:val="WW-普通文字"/>
    <w:basedOn w:val="1"/>
    <w:qFormat/>
    <w:uiPriority w:val="0"/>
    <w:pPr>
      <w:widowControl/>
      <w:suppressAutoHyphens/>
      <w:adjustRightInd/>
      <w:spacing w:before="280" w:after="280"/>
      <w:textAlignment w:val="auto"/>
    </w:pPr>
    <w:rPr>
      <w:rFonts w:ascii="宋体" w:hAnsi="宋体"/>
      <w:kern w:val="1"/>
      <w:lang w:eastAsia="ar-SA"/>
    </w:rPr>
  </w:style>
  <w:style w:type="paragraph" w:customStyle="1" w:styleId="126">
    <w:name w:val="样式 标题 2 + 宋体 行距: 1.5 倍行距"/>
    <w:basedOn w:val="3"/>
    <w:qFormat/>
    <w:uiPriority w:val="0"/>
    <w:pPr>
      <w:adjustRightInd/>
      <w:spacing w:line="360" w:lineRule="auto"/>
      <w:ind w:left="792" w:hanging="432"/>
      <w:jc w:val="both"/>
      <w:textAlignment w:val="auto"/>
    </w:pPr>
    <w:rPr>
      <w:rFonts w:hAnsi="仿宋" w:cs="宋体"/>
      <w:bCs w:val="0"/>
      <w:kern w:val="2"/>
      <w:szCs w:val="20"/>
    </w:rPr>
  </w:style>
  <w:style w:type="paragraph" w:customStyle="1" w:styleId="127">
    <w:name w:val="xl5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both"/>
      <w:textAlignment w:val="top"/>
    </w:pPr>
    <w:rPr>
      <w:rFonts w:ascii="Arial Unicode MS" w:hAnsi="Arial Unicode MS" w:eastAsia="Arial Unicode MS" w:cs="Arial Unicode MS"/>
      <w:b/>
      <w:bCs/>
      <w:color w:val="000000"/>
      <w:sz w:val="16"/>
      <w:szCs w:val="16"/>
    </w:rPr>
  </w:style>
  <w:style w:type="paragraph" w:customStyle="1" w:styleId="12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table" w:customStyle="1" w:styleId="129">
    <w:name w:val="中等深浅网格 31"/>
    <w:basedOn w:val="4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C0C0C0"/>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tcPr>
        <w:tcBorders>
          <w:left w:val="single" w:color="CCE8CF" w:sz="8" w:space="0"/>
          <w:right w:val="single" w:color="CCE8CF" w:sz="24" w:space="0"/>
          <w:insideH w:val="nil"/>
          <w:insideV w:val="nil"/>
        </w:tcBorders>
        <w:shd w:val="clear" w:color="auto" w:fill="000000"/>
      </w:tcPr>
    </w:tblStylePr>
    <w:tblStylePr w:type="lastCol">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customStyle="1" w:styleId="130">
    <w:name w:val="中等深浅网格 3 - 强调文字颜色 11"/>
    <w:basedOn w:val="4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3DFEE"/>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tcPr>
        <w:tcBorders>
          <w:left w:val="single" w:color="CCE8CF" w:sz="8" w:space="0"/>
          <w:right w:val="single" w:color="CCE8CF" w:sz="24" w:space="0"/>
          <w:insideH w:val="nil"/>
          <w:insideV w:val="nil"/>
        </w:tcBorders>
        <w:shd w:val="clear" w:color="auto" w:fill="4F81BD"/>
      </w:tcPr>
    </w:tblStylePr>
    <w:tblStylePr w:type="lastCol">
      <w:tcPr>
        <w:tcBorders>
          <w:top w:val="nil"/>
          <w:left w:val="single" w:color="CCE8CF" w:sz="24" w:space="0"/>
          <w:bottom w:val="nil"/>
          <w:right w:val="nil"/>
          <w:insideH w:val="nil"/>
          <w:insideV w:val="nil"/>
        </w:tcBorders>
        <w:shd w:val="clear" w:color="auto" w:fill="4F81BD"/>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customStyle="1" w:styleId="131">
    <w:name w:val="中等深浅网格 3 - 强调文字颜色 21"/>
    <w:basedOn w:val="4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FD3D2"/>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tcPr>
        <w:tcBorders>
          <w:left w:val="single" w:color="CCE8CF" w:sz="8" w:space="0"/>
          <w:right w:val="single" w:color="CCE8CF" w:sz="24" w:space="0"/>
          <w:insideH w:val="nil"/>
          <w:insideV w:val="nil"/>
        </w:tcBorders>
        <w:shd w:val="clear" w:color="auto" w:fill="C0504D"/>
      </w:tcPr>
    </w:tblStylePr>
    <w:tblStylePr w:type="lastCol">
      <w:tcPr>
        <w:tcBorders>
          <w:top w:val="nil"/>
          <w:left w:val="single" w:color="CCE8CF" w:sz="24" w:space="0"/>
          <w:bottom w:val="nil"/>
          <w:right w:val="nil"/>
          <w:insideH w:val="nil"/>
          <w:insideV w:val="nil"/>
        </w:tcBorders>
        <w:shd w:val="clear" w:color="auto" w:fill="C0504D"/>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customStyle="1" w:styleId="132">
    <w:name w:val="中等深浅网格 3 - 强调文字颜色 31"/>
    <w:basedOn w:val="47"/>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E6EED5"/>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tcPr>
        <w:tcBorders>
          <w:left w:val="single" w:color="CCE8CF" w:sz="8" w:space="0"/>
          <w:right w:val="single" w:color="CCE8CF" w:sz="24" w:space="0"/>
          <w:insideH w:val="nil"/>
          <w:insideV w:val="nil"/>
        </w:tcBorders>
        <w:shd w:val="clear" w:color="auto" w:fill="9BBB59"/>
      </w:tcPr>
    </w:tblStylePr>
    <w:tblStylePr w:type="lastCol">
      <w:tcPr>
        <w:tcBorders>
          <w:top w:val="nil"/>
          <w:left w:val="single" w:color="CCE8CF" w:sz="24" w:space="0"/>
          <w:bottom w:val="nil"/>
          <w:right w:val="nil"/>
          <w:insideH w:val="nil"/>
          <w:insideV w:val="nil"/>
        </w:tcBorders>
        <w:shd w:val="clear" w:color="auto" w:fill="9BBB59"/>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customStyle="1" w:styleId="133">
    <w:name w:val="中等深浅网格 3 - 强调文字颜色 41"/>
    <w:basedOn w:val="47"/>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FD8E8"/>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tcPr>
        <w:tcBorders>
          <w:left w:val="single" w:color="CCE8CF" w:sz="8" w:space="0"/>
          <w:right w:val="single" w:color="CCE8CF" w:sz="24" w:space="0"/>
          <w:insideH w:val="nil"/>
          <w:insideV w:val="nil"/>
        </w:tcBorders>
        <w:shd w:val="clear" w:color="auto" w:fill="8064A2"/>
      </w:tcPr>
    </w:tblStylePr>
    <w:tblStylePr w:type="lastCol">
      <w:tcPr>
        <w:tcBorders>
          <w:top w:val="nil"/>
          <w:left w:val="single" w:color="CCE8CF" w:sz="24" w:space="0"/>
          <w:bottom w:val="nil"/>
          <w:right w:val="nil"/>
          <w:insideH w:val="nil"/>
          <w:insideV w:val="nil"/>
        </w:tcBorders>
        <w:shd w:val="clear" w:color="auto" w:fill="8064A2"/>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customStyle="1" w:styleId="134">
    <w:name w:val="中等深浅网格 3 - 强调文字颜色 51"/>
    <w:basedOn w:val="47"/>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D2EAF1"/>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tcPr>
        <w:tcBorders>
          <w:left w:val="single" w:color="CCE8CF" w:sz="8" w:space="0"/>
          <w:right w:val="single" w:color="CCE8CF" w:sz="24" w:space="0"/>
          <w:insideH w:val="nil"/>
          <w:insideV w:val="nil"/>
        </w:tcBorders>
        <w:shd w:val="clear" w:color="auto" w:fill="4BACC6"/>
      </w:tcPr>
    </w:tblStylePr>
    <w:tblStylePr w:type="lastCol">
      <w:tcPr>
        <w:tcBorders>
          <w:top w:val="nil"/>
          <w:left w:val="single" w:color="CCE8CF" w:sz="24" w:space="0"/>
          <w:bottom w:val="nil"/>
          <w:right w:val="nil"/>
          <w:insideH w:val="nil"/>
          <w:insideV w:val="nil"/>
        </w:tcBorders>
        <w:shd w:val="clear" w:color="auto" w:fill="4BACC6"/>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customStyle="1" w:styleId="135">
    <w:name w:val="中等深浅网格 3 - 强调文字颜色 61"/>
    <w:basedOn w:val="47"/>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Layout w:type="fixed"/>
      <w:tblCellMar>
        <w:top w:w="0" w:type="dxa"/>
        <w:left w:w="108" w:type="dxa"/>
        <w:bottom w:w="0" w:type="dxa"/>
        <w:right w:w="108" w:type="dxa"/>
      </w:tblCellMar>
    </w:tblPr>
    <w:tcPr>
      <w:shd w:val="clear" w:color="auto" w:fill="FDE4D0"/>
    </w:tcPr>
    <w:tblStylePr w:type="firstRow">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tcPr>
        <w:tcBorders>
          <w:left w:val="single" w:color="CCE8CF" w:sz="8" w:space="0"/>
          <w:right w:val="single" w:color="CCE8CF" w:sz="24" w:space="0"/>
          <w:insideH w:val="nil"/>
          <w:insideV w:val="nil"/>
        </w:tcBorders>
        <w:shd w:val="clear" w:color="auto" w:fill="F79646"/>
      </w:tcPr>
    </w:tblStylePr>
    <w:tblStylePr w:type="lastCol">
      <w:tcPr>
        <w:tcBorders>
          <w:top w:val="nil"/>
          <w:left w:val="single" w:color="CCE8CF" w:sz="24" w:space="0"/>
          <w:bottom w:val="nil"/>
          <w:right w:val="nil"/>
          <w:insideH w:val="nil"/>
          <w:insideV w:val="nil"/>
        </w:tcBorders>
        <w:shd w:val="clear" w:color="auto" w:fill="F79646"/>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customStyle="1" w:styleId="136">
    <w:name w:val="列出段落3"/>
    <w:basedOn w:val="1"/>
    <w:uiPriority w:val="99"/>
    <w:pPr>
      <w:adjustRightInd/>
      <w:spacing w:line="240" w:lineRule="auto"/>
      <w:ind w:firstLine="420"/>
      <w:jc w:val="both"/>
      <w:textAlignment w:val="auto"/>
    </w:pPr>
    <w:rPr>
      <w:kern w:val="2"/>
      <w:sz w:val="21"/>
      <w:szCs w:val="24"/>
    </w:rPr>
  </w:style>
  <w:style w:type="paragraph" w:customStyle="1" w:styleId="137">
    <w:name w:val="_正文段落"/>
    <w:basedOn w:val="1"/>
    <w:link w:val="138"/>
    <w:uiPriority w:val="0"/>
    <w:pPr>
      <w:adjustRightInd/>
      <w:spacing w:beforeLines="15" w:afterLines="30"/>
      <w:ind w:firstLine="200"/>
      <w:jc w:val="both"/>
      <w:textAlignment w:val="auto"/>
    </w:pPr>
    <w:rPr>
      <w:kern w:val="2"/>
      <w:szCs w:val="24"/>
    </w:rPr>
  </w:style>
  <w:style w:type="character" w:customStyle="1" w:styleId="138">
    <w:name w:val="_正文段落 Char"/>
    <w:link w:val="137"/>
    <w:uiPriority w:val="0"/>
    <w:rPr>
      <w:kern w:val="2"/>
      <w:sz w:val="24"/>
      <w:szCs w:val="24"/>
    </w:rPr>
  </w:style>
  <w:style w:type="character" w:customStyle="1" w:styleId="139">
    <w:name w:val="页眉 Char"/>
    <w:link w:val="31"/>
    <w:uiPriority w:val="99"/>
    <w:rPr>
      <w:sz w:val="18"/>
    </w:rPr>
  </w:style>
  <w:style w:type="character" w:customStyle="1" w:styleId="140">
    <w:name w:val="页脚 Char"/>
    <w:link w:val="30"/>
    <w:qFormat/>
    <w:uiPriority w:val="99"/>
    <w:rPr>
      <w:sz w:val="18"/>
    </w:rPr>
  </w:style>
  <w:style w:type="paragraph" w:customStyle="1" w:styleId="141">
    <w:name w:val="sail二级样式"/>
    <w:basedOn w:val="1"/>
    <w:link w:val="142"/>
    <w:uiPriority w:val="0"/>
    <w:pPr>
      <w:numPr>
        <w:ilvl w:val="1"/>
        <w:numId w:val="3"/>
      </w:numPr>
      <w:autoSpaceDE w:val="0"/>
      <w:autoSpaceDN w:val="0"/>
      <w:adjustRightInd/>
      <w:textAlignment w:val="auto"/>
    </w:pPr>
    <w:rPr>
      <w:rFonts w:ascii="宋体" w:hAnsi="Arial Unicode MS"/>
      <w:szCs w:val="24"/>
    </w:rPr>
  </w:style>
  <w:style w:type="character" w:customStyle="1" w:styleId="142">
    <w:name w:val="sail二级样式 Char"/>
    <w:link w:val="141"/>
    <w:uiPriority w:val="0"/>
    <w:rPr>
      <w:rFonts w:ascii="宋体" w:hAnsi="Arial Unicode MS"/>
      <w:sz w:val="24"/>
      <w:szCs w:val="24"/>
    </w:rPr>
  </w:style>
  <w:style w:type="paragraph" w:customStyle="1" w:styleId="143">
    <w:name w:val="标题4-合同"/>
    <w:basedOn w:val="1"/>
    <w:link w:val="144"/>
    <w:uiPriority w:val="0"/>
    <w:pPr>
      <w:keepNext/>
      <w:keepLines/>
      <w:numPr>
        <w:ilvl w:val="0"/>
        <w:numId w:val="3"/>
      </w:numPr>
      <w:jc w:val="both"/>
      <w:outlineLvl w:val="3"/>
    </w:pPr>
    <w:rPr>
      <w:b/>
      <w:color w:val="000000"/>
      <w:kern w:val="44"/>
      <w:szCs w:val="24"/>
    </w:rPr>
  </w:style>
  <w:style w:type="character" w:customStyle="1" w:styleId="144">
    <w:name w:val="标题4-合同 Char"/>
    <w:link w:val="143"/>
    <w:uiPriority w:val="0"/>
    <w:rPr>
      <w:b/>
      <w:color w:val="000000"/>
      <w:kern w:val="44"/>
      <w:sz w:val="24"/>
      <w:szCs w:val="24"/>
    </w:rPr>
  </w:style>
  <w:style w:type="paragraph" w:customStyle="1" w:styleId="145">
    <w:name w:val="正文表格"/>
    <w:basedOn w:val="1"/>
    <w:link w:val="146"/>
    <w:qFormat/>
    <w:uiPriority w:val="0"/>
    <w:pPr>
      <w:snapToGrid w:val="0"/>
      <w:spacing w:line="240" w:lineRule="auto"/>
      <w:ind w:firstLine="0" w:firstLineChars="0"/>
      <w:textAlignment w:val="auto"/>
    </w:pPr>
    <w:rPr>
      <w:rFonts w:ascii="宋体" w:hAnsi="宋体"/>
      <w:color w:val="000000"/>
      <w:kern w:val="2"/>
      <w:sz w:val="21"/>
      <w:szCs w:val="21"/>
    </w:rPr>
  </w:style>
  <w:style w:type="character" w:customStyle="1" w:styleId="146">
    <w:name w:val="正文表格 Char"/>
    <w:link w:val="145"/>
    <w:uiPriority w:val="0"/>
    <w:rPr>
      <w:rFonts w:ascii="宋体" w:hAnsi="宋体" w:eastAsia="宋体" w:cs="Times New Roman"/>
      <w:color w:val="000000"/>
      <w:kern w:val="2"/>
      <w:sz w:val="21"/>
      <w:szCs w:val="21"/>
    </w:rPr>
  </w:style>
  <w:style w:type="character" w:customStyle="1" w:styleId="147">
    <w:name w:val="leake Char"/>
    <w:link w:val="148"/>
    <w:uiPriority w:val="0"/>
    <w:rPr>
      <w:rFonts w:ascii="宋体" w:hAnsi="宋体" w:eastAsia="仿宋"/>
      <w:sz w:val="24"/>
      <w:szCs w:val="24"/>
    </w:rPr>
  </w:style>
  <w:style w:type="paragraph" w:customStyle="1" w:styleId="148">
    <w:name w:val="leake"/>
    <w:basedOn w:val="1"/>
    <w:link w:val="147"/>
    <w:uiPriority w:val="0"/>
    <w:pPr>
      <w:adjustRightInd/>
      <w:ind w:firstLine="420"/>
      <w:jc w:val="both"/>
      <w:textAlignment w:val="auto"/>
    </w:pPr>
    <w:rPr>
      <w:rFonts w:ascii="宋体" w:hAnsi="宋体" w:eastAsia="仿宋"/>
      <w:szCs w:val="24"/>
    </w:rPr>
  </w:style>
  <w:style w:type="paragraph" w:customStyle="1" w:styleId="149">
    <w:name w:val="正文文字缩进 2"/>
    <w:basedOn w:val="1"/>
    <w:uiPriority w:val="0"/>
    <w:pPr>
      <w:widowControl/>
      <w:adjustRightInd/>
      <w:spacing w:line="351" w:lineRule="atLeast"/>
      <w:ind w:firstLine="481"/>
      <w:jc w:val="both"/>
    </w:pPr>
    <w:rPr>
      <w:rFonts w:ascii="仿宋_GB2312" w:eastAsia="仿宋_GB2312"/>
      <w:color w:val="000000"/>
      <w:u w:color="000000"/>
    </w:rPr>
  </w:style>
  <w:style w:type="paragraph" w:customStyle="1" w:styleId="150">
    <w:name w:val="封面标题"/>
    <w:basedOn w:val="1"/>
    <w:link w:val="152"/>
    <w:qFormat/>
    <w:uiPriority w:val="0"/>
    <w:pPr>
      <w:spacing w:beforeLines="500"/>
      <w:ind w:firstLine="0" w:firstLineChars="0"/>
      <w:jc w:val="center"/>
    </w:pPr>
    <w:rPr>
      <w:b/>
      <w:sz w:val="90"/>
      <w:szCs w:val="90"/>
    </w:rPr>
  </w:style>
  <w:style w:type="paragraph" w:customStyle="1" w:styleId="151">
    <w:name w:val="封面小标题"/>
    <w:basedOn w:val="1"/>
    <w:link w:val="154"/>
    <w:qFormat/>
    <w:uiPriority w:val="0"/>
    <w:pPr>
      <w:ind w:firstLine="640"/>
    </w:pPr>
    <w:rPr>
      <w:rFonts w:ascii="宋体" w:hAnsi="宋体"/>
      <w:sz w:val="32"/>
      <w:szCs w:val="32"/>
    </w:rPr>
  </w:style>
  <w:style w:type="character" w:customStyle="1" w:styleId="152">
    <w:name w:val="封面标题 Char"/>
    <w:link w:val="150"/>
    <w:uiPriority w:val="0"/>
    <w:rPr>
      <w:rFonts w:ascii="Times New Roman" w:hAnsi="Times New Roman" w:eastAsia="宋体" w:cs="Times New Roman"/>
      <w:b/>
      <w:sz w:val="90"/>
      <w:szCs w:val="90"/>
    </w:rPr>
  </w:style>
  <w:style w:type="paragraph" w:customStyle="1" w:styleId="153">
    <w:name w:val="正文居中"/>
    <w:basedOn w:val="151"/>
    <w:link w:val="156"/>
    <w:qFormat/>
    <w:uiPriority w:val="0"/>
    <w:pPr>
      <w:ind w:firstLine="0" w:firstLineChars="0"/>
      <w:jc w:val="center"/>
    </w:pPr>
  </w:style>
  <w:style w:type="character" w:customStyle="1" w:styleId="154">
    <w:name w:val="封面小标题 Char"/>
    <w:link w:val="151"/>
    <w:uiPriority w:val="0"/>
    <w:rPr>
      <w:rFonts w:ascii="宋体" w:hAnsi="宋体" w:eastAsia="宋体" w:cs="Times New Roman"/>
      <w:sz w:val="32"/>
      <w:szCs w:val="32"/>
    </w:rPr>
  </w:style>
  <w:style w:type="paragraph" w:customStyle="1" w:styleId="155">
    <w:name w:val="正文小标题"/>
    <w:basedOn w:val="151"/>
    <w:link w:val="158"/>
    <w:qFormat/>
    <w:uiPriority w:val="0"/>
    <w:pPr>
      <w:ind w:firstLine="562"/>
      <w:jc w:val="center"/>
    </w:pPr>
    <w:rPr>
      <w:b/>
      <w:sz w:val="28"/>
      <w:szCs w:val="28"/>
    </w:rPr>
  </w:style>
  <w:style w:type="character" w:customStyle="1" w:styleId="156">
    <w:name w:val="正文居中 Char"/>
    <w:basedOn w:val="154"/>
    <w:link w:val="153"/>
    <w:uiPriority w:val="0"/>
    <w:rPr>
      <w:rFonts w:ascii="宋体" w:hAnsi="宋体" w:eastAsia="宋体" w:cs="Times New Roman"/>
      <w:sz w:val="32"/>
      <w:szCs w:val="32"/>
    </w:rPr>
  </w:style>
  <w:style w:type="paragraph" w:customStyle="1" w:styleId="157">
    <w:name w:val="正文重点"/>
    <w:basedOn w:val="1"/>
    <w:link w:val="160"/>
    <w:qFormat/>
    <w:uiPriority w:val="0"/>
    <w:pPr>
      <w:snapToGrid w:val="0"/>
      <w:spacing w:beforeLines="50" w:afterLines="50"/>
      <w:ind w:firstLine="0" w:firstLineChars="0"/>
    </w:pPr>
    <w:rPr>
      <w:b/>
    </w:rPr>
  </w:style>
  <w:style w:type="character" w:customStyle="1" w:styleId="158">
    <w:name w:val="正文小标题 Char"/>
    <w:link w:val="155"/>
    <w:uiPriority w:val="0"/>
    <w:rPr>
      <w:rFonts w:ascii="宋体" w:hAnsi="宋体" w:eastAsia="宋体" w:cs="Times New Roman"/>
      <w:b/>
      <w:sz w:val="28"/>
      <w:szCs w:val="28"/>
    </w:rPr>
  </w:style>
  <w:style w:type="paragraph" w:customStyle="1" w:styleId="159">
    <w:name w:val="正文编号"/>
    <w:basedOn w:val="1"/>
    <w:link w:val="162"/>
    <w:qFormat/>
    <w:uiPriority w:val="0"/>
    <w:pPr>
      <w:numPr>
        <w:ilvl w:val="0"/>
        <w:numId w:val="4"/>
      </w:numPr>
      <w:ind w:firstLine="0" w:firstLineChars="0"/>
    </w:pPr>
    <w:rPr>
      <w:b/>
    </w:rPr>
  </w:style>
  <w:style w:type="character" w:customStyle="1" w:styleId="160">
    <w:name w:val="正文重点 Char"/>
    <w:link w:val="157"/>
    <w:uiPriority w:val="0"/>
    <w:rPr>
      <w:b/>
      <w:sz w:val="24"/>
    </w:rPr>
  </w:style>
  <w:style w:type="paragraph" w:customStyle="1" w:styleId="161">
    <w:name w:val="正文加粗"/>
    <w:qFormat/>
    <w:uiPriority w:val="0"/>
    <w:pPr>
      <w:ind w:firstLine="200" w:firstLineChars="200"/>
    </w:pPr>
    <w:rPr>
      <w:rFonts w:ascii="Times New Roman" w:hAnsi="Times New Roman" w:eastAsia="宋体" w:cs="Times New Roman"/>
      <w:b/>
      <w:sz w:val="30"/>
      <w:lang w:val="en-US" w:eastAsia="zh-CN" w:bidi="ar-SA"/>
    </w:rPr>
  </w:style>
  <w:style w:type="character" w:customStyle="1" w:styleId="162">
    <w:name w:val="正文编号 Char"/>
    <w:link w:val="159"/>
    <w:qFormat/>
    <w:uiPriority w:val="0"/>
    <w:rPr>
      <w:b/>
      <w:sz w:val="24"/>
    </w:rPr>
  </w:style>
  <w:style w:type="paragraph" w:customStyle="1" w:styleId="163">
    <w:name w:val="主合同正文"/>
    <w:qFormat/>
    <w:uiPriority w:val="0"/>
    <w:pPr>
      <w:ind w:firstLine="200" w:firstLineChars="200"/>
      <w:jc w:val="both"/>
    </w:pPr>
    <w:rPr>
      <w:rFonts w:ascii="Times New Roman" w:hAnsi="Times New Roman" w:eastAsia="宋体" w:cs="Times New Roman"/>
      <w:sz w:val="30"/>
      <w:lang w:val="en-US" w:eastAsia="zh-CN" w:bidi="ar-SA"/>
    </w:rPr>
  </w:style>
  <w:style w:type="paragraph" w:customStyle="1" w:styleId="164">
    <w:name w:val="List Paragraph1"/>
    <w:basedOn w:val="1"/>
    <w:uiPriority w:val="99"/>
    <w:pPr>
      <w:adjustRightInd/>
      <w:spacing w:line="240" w:lineRule="auto"/>
      <w:ind w:firstLine="420"/>
      <w:jc w:val="both"/>
      <w:textAlignment w:val="auto"/>
    </w:pPr>
    <w:rPr>
      <w:kern w:val="2"/>
      <w:sz w:val="21"/>
      <w:szCs w:val="21"/>
    </w:rPr>
  </w:style>
  <w:style w:type="paragraph" w:customStyle="1" w:styleId="165">
    <w:name w:val="合同编号"/>
    <w:uiPriority w:val="0"/>
    <w:rPr>
      <w:rFonts w:ascii="Times New Roman" w:hAnsi="Times New Roman" w:eastAsia="华文中宋" w:cs="Times New Roman"/>
      <w:b/>
      <w:kern w:val="2"/>
      <w:sz w:val="32"/>
      <w:szCs w:val="22"/>
      <w:lang w:val="en-US" w:eastAsia="zh-CN" w:bidi="ar-SA"/>
    </w:rPr>
  </w:style>
  <w:style w:type="paragraph" w:customStyle="1" w:styleId="166">
    <w:name w:val="标题1-附件"/>
    <w:basedOn w:val="2"/>
    <w:qFormat/>
    <w:uiPriority w:val="0"/>
    <w:pPr>
      <w:numPr>
        <w:numId w:val="0"/>
      </w:numPr>
      <w:autoSpaceDE w:val="0"/>
      <w:autoSpaceDN w:val="0"/>
      <w:spacing w:before="240" w:after="120" w:line="300" w:lineRule="auto"/>
      <w:jc w:val="left"/>
      <w:textAlignment w:val="auto"/>
    </w:pPr>
    <w:rPr>
      <w:rFonts w:ascii="宋体"/>
      <w:bCs w:val="0"/>
      <w:sz w:val="24"/>
      <w:szCs w:val="24"/>
    </w:rPr>
  </w:style>
  <w:style w:type="paragraph" w:customStyle="1" w:styleId="16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0" w:firstLineChars="0"/>
      <w:textAlignment w:val="auto"/>
    </w:pPr>
    <w:rPr>
      <w:rFonts w:ascii="宋体" w:hAnsi="宋体" w:cs="宋体"/>
      <w:kern w:val="2"/>
      <w:szCs w:val="24"/>
    </w:rPr>
  </w:style>
  <w:style w:type="character" w:customStyle="1" w:styleId="168">
    <w:name w:val="样式 首行缩进:  2 字符 Char"/>
    <w:link w:val="65"/>
    <w:uiPriority w:val="0"/>
    <w:rPr>
      <w:rFonts w:eastAsia="仿宋_GB2312" w:cs="宋体"/>
      <w:kern w:val="2"/>
      <w:sz w:val="28"/>
      <w:szCs w:val="28"/>
    </w:rPr>
  </w:style>
  <w:style w:type="character" w:customStyle="1" w:styleId="169">
    <w:name w:val="标题 2 Char Char Char"/>
    <w:uiPriority w:val="0"/>
    <w:rPr>
      <w:rFonts w:ascii="Arial" w:hAnsi="Arial" w:eastAsia="黑体"/>
      <w:b/>
      <w:bCs/>
      <w:kern w:val="2"/>
      <w:sz w:val="32"/>
      <w:szCs w:val="32"/>
      <w:lang w:val="en-US" w:eastAsia="zh-CN" w:bidi="ar-SA"/>
    </w:rPr>
  </w:style>
  <w:style w:type="character" w:customStyle="1" w:styleId="170">
    <w:name w:val="纯文本 Char1"/>
    <w:uiPriority w:val="0"/>
    <w:rPr>
      <w:rFonts w:ascii="宋体" w:hAnsi="Courier New" w:eastAsia="宋体"/>
      <w:kern w:val="2"/>
      <w:sz w:val="21"/>
      <w:lang w:val="en-US" w:eastAsia="zh-CN" w:bidi="ar-SA"/>
    </w:rPr>
  </w:style>
  <w:style w:type="paragraph" w:customStyle="1" w:styleId="171">
    <w:name w:val="签字页"/>
    <w:uiPriority w:val="0"/>
    <w:pPr>
      <w:jc w:val="both"/>
    </w:pPr>
    <w:rPr>
      <w:rFonts w:ascii="Times New Roman" w:hAnsi="Times New Roman" w:eastAsia="宋体" w:cs="Times New Roman"/>
      <w:color w:val="000000"/>
      <w:sz w:val="30"/>
      <w:lang w:val="en-US" w:eastAsia="zh-CN" w:bidi="ar-SA"/>
    </w:rPr>
  </w:style>
  <w:style w:type="character" w:customStyle="1" w:styleId="172">
    <w:name w:val="标题 1 Char"/>
    <w:basedOn w:val="49"/>
    <w:link w:val="2"/>
    <w:uiPriority w:val="99"/>
    <w:rPr>
      <w:b/>
      <w:bCs/>
      <w:kern w:val="44"/>
      <w:sz w:val="28"/>
      <w:szCs w:val="28"/>
    </w:rPr>
  </w:style>
  <w:style w:type="paragraph" w:styleId="173">
    <w:name w:val="List Paragraph"/>
    <w:basedOn w:val="1"/>
    <w:qFormat/>
    <w:uiPriority w:val="99"/>
    <w:pPr>
      <w:adjustRightInd/>
      <w:spacing w:line="240" w:lineRule="auto"/>
      <w:ind w:firstLine="420"/>
      <w:jc w:val="both"/>
      <w:textAlignment w:val="auto"/>
    </w:pPr>
    <w:rPr>
      <w:rFonts w:asciiTheme="minorHAnsi" w:hAnsiTheme="minorHAnsi" w:eastAsiaTheme="minorEastAsia" w:cstheme="minorBidi"/>
      <w:kern w:val="2"/>
      <w:szCs w:val="24"/>
    </w:rPr>
  </w:style>
  <w:style w:type="paragraph" w:customStyle="1" w:styleId="174">
    <w:name w:val="规范正文-1级项目符号"/>
    <w:basedOn w:val="1"/>
    <w:link w:val="175"/>
    <w:qFormat/>
    <w:uiPriority w:val="0"/>
    <w:pPr>
      <w:numPr>
        <w:ilvl w:val="0"/>
        <w:numId w:val="5"/>
      </w:numPr>
      <w:adjustRightInd/>
      <w:ind w:firstLine="0" w:firstLineChars="0"/>
      <w:jc w:val="both"/>
      <w:textAlignment w:val="auto"/>
    </w:pPr>
    <w:rPr>
      <w:rFonts w:ascii="宋体" w:hAnsi="宋体"/>
      <w:kern w:val="2"/>
      <w:sz w:val="21"/>
    </w:rPr>
  </w:style>
  <w:style w:type="character" w:customStyle="1" w:styleId="175">
    <w:name w:val="规范正文-1级项目符号 Char"/>
    <w:link w:val="174"/>
    <w:uiPriority w:val="0"/>
    <w:rPr>
      <w:rFonts w:ascii="宋体" w:hAnsi="宋体"/>
      <w:kern w:val="2"/>
      <w:sz w:val="21"/>
    </w:rPr>
  </w:style>
  <w:style w:type="character" w:customStyle="1" w:styleId="176">
    <w:name w:val="标题 2 Char Char"/>
    <w:uiPriority w:val="99"/>
    <w:rPr>
      <w:rFonts w:ascii="Arial" w:hAnsi="Arial" w:eastAsia="黑体"/>
      <w:b/>
      <w:kern w:val="2"/>
      <w:sz w:val="32"/>
      <w:lang w:val="en-US" w:eastAsia="zh-CN"/>
    </w:rPr>
  </w:style>
  <w:style w:type="character" w:customStyle="1" w:styleId="177">
    <w:name w:val="Char Char11"/>
    <w:basedOn w:val="49"/>
    <w:uiPriority w:val="0"/>
    <w:rPr>
      <w:rFonts w:ascii="宋体" w:eastAsia="宋体"/>
      <w:b/>
      <w:sz w:val="24"/>
      <w:u w:val="single"/>
      <w:lang w:val="en-US" w:eastAsia="zh-CN" w:bidi="ar-SA"/>
    </w:rPr>
  </w:style>
  <w:style w:type="character" w:customStyle="1" w:styleId="178">
    <w:name w:val="日期 Char"/>
    <w:link w:val="27"/>
    <w:uiPriority w:val="99"/>
    <w:rPr>
      <w:kern w:val="2"/>
      <w:sz w:val="21"/>
    </w:rPr>
  </w:style>
  <w:style w:type="paragraph" w:customStyle="1" w:styleId="179">
    <w:name w:val="Char Char14 Char Char Char Char Char Char"/>
    <w:basedOn w:val="1"/>
    <w:uiPriority w:val="0"/>
    <w:pPr>
      <w:adjustRightInd/>
      <w:spacing w:line="240" w:lineRule="auto"/>
      <w:ind w:firstLine="0" w:firstLineChars="0"/>
      <w:jc w:val="both"/>
      <w:textAlignment w:val="auto"/>
    </w:pPr>
    <w:rPr>
      <w:kern w:val="2"/>
      <w:sz w:val="21"/>
      <w:szCs w:val="24"/>
    </w:rPr>
  </w:style>
  <w:style w:type="paragraph" w:customStyle="1" w:styleId="180">
    <w:name w:val="正文缩进1"/>
    <w:basedOn w:val="1"/>
    <w:uiPriority w:val="0"/>
    <w:pPr>
      <w:widowControl/>
      <w:snapToGrid w:val="0"/>
      <w:spacing w:line="480" w:lineRule="exact"/>
      <w:ind w:firstLine="567" w:firstLineChars="0"/>
      <w:jc w:val="both"/>
      <w:textAlignment w:val="auto"/>
    </w:pPr>
    <w:rPr>
      <w:rFonts w:ascii="宋体"/>
      <w:snapToGrid w:val="0"/>
      <w:color w:val="000000"/>
      <w:kern w:val="28"/>
      <w:sz w:val="28"/>
    </w:rPr>
  </w:style>
  <w:style w:type="paragraph" w:customStyle="1" w:styleId="181">
    <w:name w:val="正文缩进2"/>
    <w:basedOn w:val="1"/>
    <w:uiPriority w:val="0"/>
    <w:pPr>
      <w:widowControl/>
      <w:snapToGrid w:val="0"/>
      <w:spacing w:line="480" w:lineRule="exact"/>
      <w:ind w:firstLine="567" w:firstLineChars="0"/>
      <w:jc w:val="both"/>
      <w:textAlignment w:val="auto"/>
    </w:pPr>
    <w:rPr>
      <w:rFonts w:ascii="宋体"/>
      <w:snapToGrid w:val="0"/>
      <w:color w:val="000000"/>
      <w:kern w:val="28"/>
      <w:sz w:val="28"/>
    </w:rPr>
  </w:style>
  <w:style w:type="paragraph" w:customStyle="1" w:styleId="182">
    <w:name w:val="正文无缩进"/>
    <w:basedOn w:val="145"/>
    <w:link w:val="183"/>
    <w:qFormat/>
    <w:uiPriority w:val="0"/>
    <w:rPr>
      <w:rFonts w:hAnsi="Times New Roman"/>
    </w:rPr>
  </w:style>
  <w:style w:type="character" w:customStyle="1" w:styleId="183">
    <w:name w:val="正文无缩进 Char"/>
    <w:basedOn w:val="146"/>
    <w:link w:val="182"/>
    <w:uiPriority w:val="0"/>
    <w:rPr>
      <w:rFonts w:ascii="宋体" w:hAnsi="宋体" w:eastAsia="宋体" w:cs="Times New Roman"/>
      <w:color w:val="000000"/>
      <w:kern w:val="2"/>
      <w:sz w:val="21"/>
      <w:szCs w:val="21"/>
    </w:rPr>
  </w:style>
  <w:style w:type="character" w:customStyle="1" w:styleId="184">
    <w:name w:val="正文文本 Char"/>
    <w:link w:val="19"/>
    <w:uiPriority w:val="99"/>
    <w:rPr>
      <w:kern w:val="2"/>
      <w:sz w:val="28"/>
    </w:rPr>
  </w:style>
  <w:style w:type="paragraph" w:customStyle="1" w:styleId="185">
    <w:name w:val="默认段落字体 Para Char"/>
    <w:basedOn w:val="1"/>
    <w:uiPriority w:val="0"/>
    <w:pPr>
      <w:ind w:firstLine="0" w:firstLineChars="0"/>
      <w:jc w:val="both"/>
      <w:textAlignment w:val="auto"/>
    </w:pPr>
    <w:rPr>
      <w:kern w:val="2"/>
      <w:sz w:val="21"/>
    </w:rPr>
  </w:style>
  <w:style w:type="paragraph" w:customStyle="1" w:styleId="186">
    <w:name w:val="xl26"/>
    <w:basedOn w:val="1"/>
    <w:uiPriority w:val="0"/>
    <w:pPr>
      <w:widowControl/>
      <w:adjustRightInd/>
      <w:spacing w:before="100" w:beforeAutospacing="1" w:after="100" w:afterAutospacing="1" w:line="240" w:lineRule="auto"/>
      <w:ind w:firstLine="0" w:firstLineChars="0"/>
      <w:jc w:val="center"/>
      <w:textAlignment w:val="center"/>
    </w:pPr>
    <w:rPr>
      <w:rFonts w:ascii="宋体" w:hAnsi="宋体"/>
      <w:szCs w:val="24"/>
    </w:rPr>
  </w:style>
  <w:style w:type="paragraph" w:customStyle="1" w:styleId="187">
    <w:name w:val="neirong"/>
    <w:basedOn w:val="1"/>
    <w:uiPriority w:val="0"/>
    <w:pPr>
      <w:widowControl/>
      <w:adjustRightInd/>
      <w:spacing w:before="100" w:beforeAutospacing="1" w:after="100" w:afterAutospacing="1" w:line="402" w:lineRule="atLeast"/>
      <w:ind w:firstLine="0" w:firstLineChars="0"/>
      <w:textAlignment w:val="top"/>
    </w:pPr>
    <w:rPr>
      <w:rFonts w:ascii="宋体" w:hAnsi="宋体"/>
      <w:sz w:val="20"/>
    </w:rPr>
  </w:style>
  <w:style w:type="paragraph" w:customStyle="1" w:styleId="188">
    <w:name w:val="Char Char Char Char1"/>
    <w:basedOn w:val="1"/>
    <w:uiPriority w:val="99"/>
    <w:pPr>
      <w:adjustRightInd/>
      <w:snapToGrid w:val="0"/>
      <w:spacing w:line="440" w:lineRule="atLeast"/>
      <w:ind w:firstLine="0" w:firstLineChars="0"/>
      <w:jc w:val="both"/>
      <w:textAlignment w:val="auto"/>
    </w:pPr>
    <w:rPr>
      <w:rFonts w:ascii="宋体"/>
      <w:kern w:val="2"/>
      <w:szCs w:val="24"/>
    </w:rPr>
  </w:style>
  <w:style w:type="paragraph" w:customStyle="1" w:styleId="189">
    <w:name w:val="un"/>
    <w:basedOn w:val="1"/>
    <w:uiPriority w:val="0"/>
    <w:pPr>
      <w:widowControl/>
      <w:adjustRightInd/>
      <w:spacing w:before="100" w:beforeAutospacing="1" w:after="100" w:afterAutospacing="1" w:line="502" w:lineRule="atLeast"/>
      <w:ind w:firstLine="0" w:firstLineChars="0"/>
      <w:textAlignment w:val="auto"/>
    </w:pPr>
    <w:rPr>
      <w:color w:val="000000"/>
      <w:sz w:val="23"/>
      <w:szCs w:val="23"/>
    </w:rPr>
  </w:style>
  <w:style w:type="paragraph" w:customStyle="1" w:styleId="190">
    <w:name w:val="Char Char Char Char Char Char Char Char Char Char Char Char Char Char Char Char"/>
    <w:basedOn w:val="1"/>
    <w:uiPriority w:val="0"/>
    <w:pPr>
      <w:adjustRightInd/>
      <w:snapToGrid w:val="0"/>
      <w:spacing w:line="440" w:lineRule="atLeast"/>
      <w:ind w:firstLine="0" w:firstLineChars="0"/>
      <w:jc w:val="both"/>
      <w:textAlignment w:val="auto"/>
    </w:pPr>
    <w:rPr>
      <w:kern w:val="2"/>
      <w:sz w:val="21"/>
    </w:rPr>
  </w:style>
  <w:style w:type="paragraph" w:customStyle="1" w:styleId="191">
    <w:name w:val="样式 标题 2 + 两端对齐"/>
    <w:basedOn w:val="3"/>
    <w:uiPriority w:val="0"/>
    <w:pPr>
      <w:keepLines w:val="0"/>
      <w:adjustRightInd/>
      <w:spacing w:before="0" w:after="0" w:line="360" w:lineRule="auto"/>
      <w:jc w:val="left"/>
      <w:textAlignment w:val="auto"/>
      <w:outlineLvl w:val="2"/>
    </w:pPr>
    <w:rPr>
      <w:rFonts w:ascii="Times New Roman" w:hAnsi="Times New Roman" w:cs="宋体"/>
      <w:kern w:val="2"/>
      <w:szCs w:val="20"/>
    </w:rPr>
  </w:style>
  <w:style w:type="paragraph" w:customStyle="1" w:styleId="192">
    <w:name w:val="Char Char Char Char Char Char"/>
    <w:basedOn w:val="1"/>
    <w:qFormat/>
    <w:uiPriority w:val="0"/>
    <w:pPr>
      <w:widowControl/>
      <w:adjustRightInd/>
      <w:spacing w:line="400" w:lineRule="exact"/>
      <w:ind w:firstLine="0" w:firstLineChars="0"/>
      <w:jc w:val="center"/>
      <w:textAlignment w:val="auto"/>
    </w:pPr>
    <w:rPr>
      <w:rFonts w:ascii="Verdana" w:hAnsi="Verdana"/>
      <w:sz w:val="21"/>
      <w:lang w:eastAsia="en-US"/>
    </w:rPr>
  </w:style>
  <w:style w:type="character" w:customStyle="1" w:styleId="193">
    <w:name w:val="title4"/>
    <w:uiPriority w:val="0"/>
    <w:rPr>
      <w:b/>
      <w:bCs/>
      <w:color w:val="1D87B3"/>
      <w:sz w:val="15"/>
      <w:szCs w:val="15"/>
    </w:rPr>
  </w:style>
  <w:style w:type="character" w:customStyle="1" w:styleId="194">
    <w:name w:val="black1"/>
    <w:uiPriority w:val="0"/>
    <w:rPr>
      <w:color w:val="000000"/>
    </w:rPr>
  </w:style>
  <w:style w:type="character" w:customStyle="1" w:styleId="195">
    <w:name w:val="street-address"/>
    <w:basedOn w:val="49"/>
    <w:uiPriority w:val="0"/>
  </w:style>
  <w:style w:type="character" w:customStyle="1" w:styleId="196">
    <w:name w:val="locality"/>
    <w:basedOn w:val="49"/>
    <w:uiPriority w:val="0"/>
  </w:style>
  <w:style w:type="character" w:customStyle="1" w:styleId="197">
    <w:name w:val="Char Char111"/>
    <w:basedOn w:val="49"/>
    <w:uiPriority w:val="99"/>
    <w:rPr>
      <w:rFonts w:ascii="宋体" w:eastAsia="宋体"/>
      <w:b/>
      <w:sz w:val="24"/>
      <w:u w:val="single"/>
      <w:lang w:val="en-US" w:eastAsia="zh-CN" w:bidi="ar-SA"/>
    </w:rPr>
  </w:style>
  <w:style w:type="character" w:customStyle="1" w:styleId="198">
    <w:name w:val="txt"/>
    <w:basedOn w:val="49"/>
    <w:uiPriority w:val="0"/>
  </w:style>
  <w:style w:type="character" w:customStyle="1" w:styleId="199">
    <w:name w:val="标题 3 Char Char"/>
    <w:uiPriority w:val="0"/>
    <w:rPr>
      <w:rFonts w:eastAsia="宋体"/>
      <w:b/>
      <w:bCs/>
      <w:kern w:val="2"/>
      <w:sz w:val="32"/>
      <w:szCs w:val="32"/>
      <w:lang w:val="en-US" w:eastAsia="zh-CN" w:bidi="ar-SA"/>
    </w:rPr>
  </w:style>
  <w:style w:type="character" w:customStyle="1" w:styleId="200">
    <w:name w:val="apple-style-span"/>
    <w:basedOn w:val="49"/>
    <w:uiPriority w:val="0"/>
    <w:rPr>
      <w:rFonts w:cs="Times New Roman"/>
      <w:lang w:bidi="ar-SA"/>
    </w:rPr>
  </w:style>
  <w:style w:type="character" w:customStyle="1" w:styleId="201">
    <w:name w:val="正文文本缩进 Char"/>
    <w:basedOn w:val="49"/>
    <w:link w:val="20"/>
    <w:uiPriority w:val="99"/>
    <w:rPr>
      <w:rFonts w:ascii="宋体" w:hAnsi="宋体"/>
      <w:sz w:val="24"/>
      <w:szCs w:val="21"/>
    </w:rPr>
  </w:style>
  <w:style w:type="character" w:customStyle="1" w:styleId="202">
    <w:name w:val="正文首行缩进 2 Char"/>
    <w:basedOn w:val="201"/>
    <w:link w:val="46"/>
    <w:uiPriority w:val="0"/>
    <w:rPr>
      <w:rFonts w:ascii="宋体" w:hAnsi="宋体"/>
      <w:sz w:val="24"/>
      <w:szCs w:val="21"/>
    </w:rPr>
  </w:style>
  <w:style w:type="paragraph" w:customStyle="1" w:styleId="203">
    <w:name w:val="二级条标题"/>
    <w:basedOn w:val="204"/>
    <w:next w:val="1"/>
    <w:uiPriority w:val="0"/>
    <w:pPr>
      <w:tabs>
        <w:tab w:val="left" w:pos="360"/>
        <w:tab w:val="left" w:pos="840"/>
      </w:tabs>
      <w:outlineLvl w:val="2"/>
    </w:pPr>
    <w:rPr>
      <w:rFonts w:ascii="宋体" w:eastAsia="宋体"/>
      <w:b w:val="0"/>
    </w:rPr>
  </w:style>
  <w:style w:type="paragraph" w:customStyle="1" w:styleId="204">
    <w:name w:val="一级条标题"/>
    <w:basedOn w:val="205"/>
    <w:next w:val="1"/>
    <w:uiPriority w:val="0"/>
    <w:pPr>
      <w:tabs>
        <w:tab w:val="left" w:pos="360"/>
        <w:tab w:val="left" w:pos="840"/>
      </w:tabs>
      <w:ind w:hanging="840"/>
      <w:outlineLvl w:val="1"/>
    </w:pPr>
  </w:style>
  <w:style w:type="paragraph" w:customStyle="1" w:styleId="205">
    <w:name w:val="章标题"/>
    <w:next w:val="1"/>
    <w:uiPriority w:val="0"/>
    <w:pPr>
      <w:spacing w:beforeLines="50" w:afterLines="50" w:line="460" w:lineRule="exact"/>
      <w:ind w:hanging="720"/>
      <w:jc w:val="both"/>
      <w:outlineLvl w:val="0"/>
    </w:pPr>
    <w:rPr>
      <w:rFonts w:ascii="黑体" w:hAnsi="Times New Roman" w:eastAsia="黑体" w:cs="Times New Roman"/>
      <w:b/>
      <w:sz w:val="28"/>
      <w:lang w:val="en-US" w:eastAsia="zh-CN" w:bidi="ar-SA"/>
    </w:rPr>
  </w:style>
  <w:style w:type="paragraph" w:customStyle="1" w:styleId="206">
    <w:name w:val="font7"/>
    <w:basedOn w:val="1"/>
    <w:uiPriority w:val="0"/>
    <w:pPr>
      <w:widowControl/>
      <w:adjustRightInd/>
      <w:spacing w:before="100" w:beforeAutospacing="1" w:after="100" w:afterAutospacing="1" w:line="240" w:lineRule="auto"/>
      <w:ind w:firstLine="0" w:firstLineChars="0"/>
      <w:textAlignment w:val="auto"/>
    </w:pPr>
    <w:rPr>
      <w:rFonts w:eastAsia="Arial Unicode MS"/>
      <w:b/>
      <w:bCs/>
      <w:color w:val="000000"/>
      <w:sz w:val="20"/>
    </w:rPr>
  </w:style>
  <w:style w:type="paragraph" w:customStyle="1" w:styleId="207">
    <w:name w:val="字元 字元"/>
    <w:basedOn w:val="1"/>
    <w:uiPriority w:val="0"/>
    <w:pPr>
      <w:adjustRightInd/>
      <w:spacing w:line="240" w:lineRule="auto"/>
      <w:ind w:firstLine="0" w:firstLineChars="0"/>
      <w:jc w:val="both"/>
      <w:textAlignment w:val="auto"/>
    </w:pPr>
    <w:rPr>
      <w:rFonts w:ascii="Tahoma" w:hAnsi="Tahoma"/>
      <w:kern w:val="2"/>
    </w:rPr>
  </w:style>
  <w:style w:type="paragraph" w:customStyle="1" w:styleId="208">
    <w:name w:val="Char3 Char Char Char"/>
    <w:basedOn w:val="1"/>
    <w:uiPriority w:val="0"/>
    <w:pPr>
      <w:adjustRightInd/>
      <w:spacing w:line="240" w:lineRule="auto"/>
      <w:ind w:firstLine="0" w:firstLineChars="0"/>
      <w:jc w:val="both"/>
      <w:textAlignment w:val="auto"/>
    </w:pPr>
    <w:rPr>
      <w:rFonts w:ascii="Tahoma" w:hAnsi="Tahoma"/>
      <w:kern w:val="2"/>
    </w:rPr>
  </w:style>
  <w:style w:type="paragraph" w:customStyle="1" w:styleId="209">
    <w:name w:val="font6"/>
    <w:basedOn w:val="1"/>
    <w:uiPriority w:val="0"/>
    <w:pPr>
      <w:widowControl/>
      <w:adjustRightInd/>
      <w:spacing w:before="100" w:beforeAutospacing="1" w:after="100" w:afterAutospacing="1" w:line="240" w:lineRule="auto"/>
      <w:ind w:firstLine="0" w:firstLineChars="0"/>
      <w:textAlignment w:val="auto"/>
    </w:pPr>
    <w:rPr>
      <w:rFonts w:ascii="宋体" w:cs="宋体"/>
      <w:sz w:val="20"/>
    </w:rPr>
  </w:style>
  <w:style w:type="paragraph" w:customStyle="1" w:styleId="210">
    <w:name w:val="正文文本缩进1"/>
    <w:basedOn w:val="1"/>
    <w:uiPriority w:val="0"/>
    <w:pPr>
      <w:adjustRightInd/>
      <w:spacing w:line="480" w:lineRule="exact"/>
      <w:ind w:firstLine="200"/>
      <w:jc w:val="both"/>
      <w:textAlignment w:val="auto"/>
    </w:pPr>
    <w:rPr>
      <w:rFonts w:ascii="宋体"/>
      <w:szCs w:val="24"/>
    </w:rPr>
  </w:style>
  <w:style w:type="paragraph" w:customStyle="1" w:styleId="211">
    <w:name w:val="项目编号2"/>
    <w:basedOn w:val="212"/>
    <w:uiPriority w:val="0"/>
    <w:pPr>
      <w:tabs>
        <w:tab w:val="left" w:pos="360"/>
      </w:tabs>
      <w:ind w:left="360" w:hanging="360"/>
    </w:pPr>
  </w:style>
  <w:style w:type="paragraph" w:customStyle="1" w:styleId="212">
    <w:name w:val="项目编号1"/>
    <w:basedOn w:val="1"/>
    <w:uiPriority w:val="0"/>
    <w:pPr>
      <w:adjustRightInd/>
      <w:spacing w:before="100" w:beforeAutospacing="1" w:after="100" w:afterAutospacing="1"/>
      <w:ind w:left="900" w:firstLine="0" w:firstLineChars="0"/>
      <w:jc w:val="both"/>
      <w:textAlignment w:val="auto"/>
    </w:pPr>
    <w:rPr>
      <w:kern w:val="2"/>
      <w:szCs w:val="24"/>
    </w:rPr>
  </w:style>
  <w:style w:type="paragraph" w:customStyle="1" w:styleId="213">
    <w:name w:val="xl46"/>
    <w:basedOn w:val="1"/>
    <w:uiPriority w:val="0"/>
    <w:pPr>
      <w:widowControl/>
      <w:pBdr>
        <w:top w:val="single" w:color="auto" w:sz="4" w:space="0"/>
        <w:bottom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b/>
      <w:bCs/>
      <w:color w:val="000000"/>
      <w:sz w:val="20"/>
    </w:rPr>
  </w:style>
  <w:style w:type="paragraph" w:customStyle="1" w:styleId="214">
    <w:name w:val="xl25"/>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top"/>
    </w:pPr>
    <w:rPr>
      <w:rFonts w:ascii="Arial Unicode MS" w:eastAsia="Arial Unicode MS" w:cs="Arial Unicode MS"/>
      <w:b/>
      <w:bCs/>
      <w:color w:val="000000"/>
      <w:sz w:val="20"/>
    </w:rPr>
  </w:style>
  <w:style w:type="paragraph" w:customStyle="1" w:styleId="215">
    <w:name w:val="xl35"/>
    <w:basedOn w:val="1"/>
    <w:uiPriority w:val="0"/>
    <w:pPr>
      <w:widowControl/>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0"/>
    </w:rPr>
  </w:style>
  <w:style w:type="paragraph" w:customStyle="1" w:styleId="216">
    <w:name w:val="xl40"/>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0"/>
    </w:rPr>
  </w:style>
  <w:style w:type="paragraph" w:customStyle="1" w:styleId="217">
    <w:name w:val="xl43"/>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0"/>
    </w:rPr>
  </w:style>
  <w:style w:type="paragraph" w:customStyle="1" w:styleId="218">
    <w:name w:val="background1"/>
    <w:basedOn w:val="1"/>
    <w:qFormat/>
    <w:uiPriority w:val="0"/>
    <w:pPr>
      <w:widowControl/>
      <w:adjustRightInd/>
      <w:spacing w:before="100" w:beforeAutospacing="1" w:after="100" w:afterAutospacing="1" w:line="240" w:lineRule="auto"/>
      <w:ind w:firstLine="0" w:firstLineChars="0"/>
      <w:textAlignment w:val="auto"/>
    </w:pPr>
    <w:rPr>
      <w:rFonts w:ascii="宋体" w:cs="宋体"/>
      <w:szCs w:val="24"/>
    </w:rPr>
  </w:style>
  <w:style w:type="paragraph" w:customStyle="1" w:styleId="219">
    <w:name w:val="Char Char Char Char Char Char Char"/>
    <w:basedOn w:val="1"/>
    <w:uiPriority w:val="0"/>
    <w:pPr>
      <w:adjustRightInd/>
      <w:snapToGrid w:val="0"/>
      <w:ind w:firstLine="200"/>
      <w:jc w:val="both"/>
      <w:textAlignment w:val="auto"/>
    </w:pPr>
    <w:rPr>
      <w:rFonts w:eastAsia="仿宋_GB2312"/>
      <w:kern w:val="2"/>
      <w:szCs w:val="24"/>
    </w:rPr>
  </w:style>
  <w:style w:type="paragraph" w:customStyle="1" w:styleId="220">
    <w:name w:val="xl3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16"/>
      <w:szCs w:val="16"/>
    </w:rPr>
  </w:style>
  <w:style w:type="paragraph" w:customStyle="1" w:styleId="221">
    <w:name w:val="xl36"/>
    <w:basedOn w:val="1"/>
    <w:uiPriority w:val="0"/>
    <w:pPr>
      <w:widowControl/>
      <w:adjustRightInd/>
      <w:spacing w:before="100" w:beforeAutospacing="1" w:after="100" w:afterAutospacing="1" w:line="240" w:lineRule="auto"/>
      <w:ind w:firstLine="0" w:firstLineChars="0"/>
      <w:jc w:val="center"/>
      <w:textAlignment w:val="auto"/>
    </w:pPr>
    <w:rPr>
      <w:rFonts w:ascii="Arial Unicode MS" w:eastAsia="Arial Unicode MS" w:cs="Arial Unicode MS"/>
      <w:color w:val="000000"/>
      <w:sz w:val="20"/>
    </w:rPr>
  </w:style>
  <w:style w:type="paragraph" w:customStyle="1" w:styleId="222">
    <w:name w:val="正文 + 宋体"/>
    <w:basedOn w:val="1"/>
    <w:uiPriority w:val="0"/>
    <w:pPr>
      <w:widowControl/>
      <w:adjustRightInd/>
      <w:spacing w:line="240" w:lineRule="auto"/>
      <w:ind w:left="360" w:hanging="360" w:firstLineChars="0"/>
      <w:textAlignment w:val="auto"/>
    </w:pPr>
    <w:rPr>
      <w:rFonts w:ascii="宋体" w:cs="宋体"/>
      <w:b/>
      <w:bCs/>
      <w:color w:val="000000"/>
      <w:sz w:val="18"/>
      <w:szCs w:val="18"/>
    </w:rPr>
  </w:style>
  <w:style w:type="paragraph" w:customStyle="1" w:styleId="223">
    <w:name w:val="xl3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auto"/>
    </w:pPr>
    <w:rPr>
      <w:rFonts w:ascii="Arial Unicode MS" w:eastAsia="Arial Unicode MS" w:cs="Arial Unicode MS"/>
      <w:color w:val="000000"/>
      <w:sz w:val="20"/>
    </w:rPr>
  </w:style>
  <w:style w:type="paragraph" w:customStyle="1" w:styleId="224">
    <w:name w:val="xl37"/>
    <w:basedOn w:val="1"/>
    <w:uiPriority w:val="0"/>
    <w:pPr>
      <w:widowControl/>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0"/>
    </w:rPr>
  </w:style>
  <w:style w:type="paragraph" w:customStyle="1" w:styleId="225">
    <w:name w:val="xl3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both"/>
      <w:textAlignment w:val="top"/>
    </w:pPr>
    <w:rPr>
      <w:rFonts w:ascii="Arial Unicode MS" w:eastAsia="Arial Unicode MS" w:cs="Arial Unicode MS"/>
      <w:color w:val="000000"/>
      <w:sz w:val="20"/>
    </w:rPr>
  </w:style>
  <w:style w:type="paragraph" w:customStyle="1" w:styleId="226">
    <w:name w:val="font8"/>
    <w:basedOn w:val="1"/>
    <w:uiPriority w:val="0"/>
    <w:pPr>
      <w:widowControl/>
      <w:adjustRightInd/>
      <w:spacing w:before="100" w:beforeAutospacing="1" w:after="100" w:afterAutospacing="1" w:line="240" w:lineRule="auto"/>
      <w:ind w:firstLine="0" w:firstLineChars="0"/>
      <w:textAlignment w:val="auto"/>
    </w:pPr>
    <w:rPr>
      <w:sz w:val="36"/>
      <w:szCs w:val="36"/>
    </w:rPr>
  </w:style>
  <w:style w:type="paragraph" w:customStyle="1" w:styleId="227">
    <w:name w:val="Char111"/>
    <w:basedOn w:val="1"/>
    <w:uiPriority w:val="0"/>
    <w:pPr>
      <w:tabs>
        <w:tab w:val="left" w:pos="360"/>
      </w:tabs>
      <w:adjustRightInd/>
      <w:spacing w:line="240" w:lineRule="auto"/>
      <w:ind w:firstLine="0" w:firstLineChars="0"/>
      <w:jc w:val="both"/>
      <w:textAlignment w:val="auto"/>
    </w:pPr>
    <w:rPr>
      <w:kern w:val="2"/>
      <w:szCs w:val="24"/>
    </w:rPr>
  </w:style>
  <w:style w:type="paragraph" w:customStyle="1" w:styleId="228">
    <w:name w:val="Char Char Char Char Char Char Char Char Char Char Char Char Char Char Char Char1"/>
    <w:basedOn w:val="1"/>
    <w:uiPriority w:val="0"/>
    <w:pPr>
      <w:widowControl/>
      <w:adjustRightInd/>
      <w:spacing w:after="160" w:line="240" w:lineRule="exact"/>
      <w:ind w:firstLine="0" w:firstLineChars="0"/>
      <w:jc w:val="center"/>
      <w:textAlignment w:val="auto"/>
    </w:pPr>
    <w:rPr>
      <w:rFonts w:ascii="宋体"/>
      <w:b/>
      <w:sz w:val="30"/>
      <w:szCs w:val="30"/>
      <w:lang w:eastAsia="en-US"/>
    </w:rPr>
  </w:style>
  <w:style w:type="paragraph" w:customStyle="1" w:styleId="229">
    <w:name w:val="xl45"/>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b/>
      <w:bCs/>
      <w:color w:val="000000"/>
      <w:sz w:val="20"/>
    </w:rPr>
  </w:style>
  <w:style w:type="paragraph" w:customStyle="1" w:styleId="230">
    <w:name w:val="Char Char1 Char Char Char Char Char Char"/>
    <w:basedOn w:val="1"/>
    <w:uiPriority w:val="0"/>
    <w:pPr>
      <w:widowControl/>
      <w:adjustRightInd/>
      <w:spacing w:after="160" w:line="240" w:lineRule="exact"/>
      <w:ind w:firstLine="0" w:firstLineChars="0"/>
      <w:textAlignment w:val="auto"/>
    </w:pPr>
    <w:rPr>
      <w:rFonts w:ascii="Verdana" w:hAnsi="Verdana" w:eastAsia="仿宋_GB2312"/>
      <w:lang w:eastAsia="en-US"/>
    </w:rPr>
  </w:style>
  <w:style w:type="paragraph" w:customStyle="1" w:styleId="231">
    <w:name w:val="Char Char1"/>
    <w:basedOn w:val="15"/>
    <w:uiPriority w:val="0"/>
    <w:pPr>
      <w:adjustRightInd/>
      <w:spacing w:line="240" w:lineRule="auto"/>
      <w:ind w:firstLine="0" w:firstLineChars="0"/>
      <w:jc w:val="both"/>
      <w:textAlignment w:val="auto"/>
    </w:pPr>
    <w:rPr>
      <w:rFonts w:ascii="Tahoma" w:hAnsi="Tahoma"/>
      <w:kern w:val="2"/>
      <w:szCs w:val="24"/>
    </w:rPr>
  </w:style>
  <w:style w:type="paragraph" w:customStyle="1" w:styleId="232">
    <w:name w:val="xl30"/>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0"/>
    </w:rPr>
  </w:style>
  <w:style w:type="paragraph" w:customStyle="1" w:styleId="233">
    <w:name w:val="xl41"/>
    <w:basedOn w:val="1"/>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ind w:firstLine="0" w:firstLineChars="0"/>
      <w:jc w:val="center"/>
      <w:textAlignment w:val="auto"/>
    </w:pPr>
    <w:rPr>
      <w:rFonts w:ascii="Arial Unicode MS" w:eastAsia="Arial Unicode MS" w:cs="Arial Unicode MS"/>
      <w:color w:val="000000"/>
      <w:sz w:val="20"/>
    </w:rPr>
  </w:style>
  <w:style w:type="paragraph" w:customStyle="1" w:styleId="234">
    <w:name w:val="Char1 Char Char Char1"/>
    <w:basedOn w:val="1"/>
    <w:uiPriority w:val="0"/>
    <w:pPr>
      <w:adjustRightInd/>
      <w:spacing w:line="240" w:lineRule="auto"/>
      <w:ind w:firstLine="0" w:firstLineChars="0"/>
      <w:jc w:val="both"/>
      <w:textAlignment w:val="auto"/>
    </w:pPr>
    <w:rPr>
      <w:rFonts w:ascii="Tahoma" w:hAnsi="Tahoma" w:cs="仿宋_GB2312"/>
      <w:kern w:val="2"/>
      <w:szCs w:val="28"/>
    </w:rPr>
  </w:style>
  <w:style w:type="paragraph" w:customStyle="1" w:styleId="235">
    <w:name w:val="四级条标题"/>
    <w:basedOn w:val="236"/>
    <w:next w:val="1"/>
    <w:uiPriority w:val="0"/>
    <w:pPr>
      <w:tabs>
        <w:tab w:val="left" w:pos="360"/>
        <w:tab w:val="left" w:pos="840"/>
      </w:tabs>
      <w:outlineLvl w:val="4"/>
    </w:pPr>
  </w:style>
  <w:style w:type="paragraph" w:customStyle="1" w:styleId="236">
    <w:name w:val="三级条标题"/>
    <w:basedOn w:val="203"/>
    <w:next w:val="1"/>
    <w:uiPriority w:val="0"/>
    <w:pPr>
      <w:outlineLvl w:val="3"/>
    </w:pPr>
  </w:style>
  <w:style w:type="paragraph" w:customStyle="1" w:styleId="237">
    <w:name w:val="??"/>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8">
    <w:name w:val="列出段落4"/>
    <w:basedOn w:val="1"/>
    <w:uiPriority w:val="0"/>
    <w:pPr>
      <w:adjustRightInd/>
      <w:spacing w:line="240" w:lineRule="auto"/>
      <w:ind w:firstLine="200"/>
      <w:jc w:val="both"/>
      <w:textAlignment w:val="auto"/>
    </w:pPr>
    <w:rPr>
      <w:rFonts w:ascii="Calibri" w:hAnsi="Calibri"/>
      <w:kern w:val="2"/>
      <w:sz w:val="21"/>
      <w:szCs w:val="22"/>
    </w:rPr>
  </w:style>
  <w:style w:type="paragraph" w:customStyle="1" w:styleId="239">
    <w:name w:val="项目符号1"/>
    <w:basedOn w:val="240"/>
    <w:uiPriority w:val="0"/>
    <w:pPr>
      <w:ind w:left="720" w:hanging="720"/>
    </w:pPr>
  </w:style>
  <w:style w:type="paragraph" w:customStyle="1" w:styleId="240">
    <w:name w:val="正文文本样式"/>
    <w:basedOn w:val="1"/>
    <w:uiPriority w:val="0"/>
    <w:pPr>
      <w:adjustRightInd/>
      <w:ind w:firstLine="482" w:firstLineChars="0"/>
      <w:jc w:val="both"/>
      <w:textAlignment w:val="auto"/>
    </w:pPr>
    <w:rPr>
      <w:rFonts w:cs="宋体"/>
      <w:kern w:val="2"/>
    </w:rPr>
  </w:style>
  <w:style w:type="paragraph" w:customStyle="1" w:styleId="241">
    <w:name w:val="font5"/>
    <w:basedOn w:val="1"/>
    <w:uiPriority w:val="0"/>
    <w:pPr>
      <w:widowControl/>
      <w:adjustRightInd/>
      <w:spacing w:before="100" w:beforeAutospacing="1" w:after="100" w:afterAutospacing="1" w:line="240" w:lineRule="auto"/>
      <w:ind w:firstLine="0" w:firstLineChars="0"/>
      <w:textAlignment w:val="auto"/>
    </w:pPr>
    <w:rPr>
      <w:rFonts w:ascii="宋体" w:cs="宋体"/>
      <w:sz w:val="18"/>
      <w:szCs w:val="18"/>
    </w:rPr>
  </w:style>
  <w:style w:type="paragraph" w:customStyle="1" w:styleId="242">
    <w:name w:val="五级条标题"/>
    <w:basedOn w:val="235"/>
    <w:next w:val="1"/>
    <w:uiPriority w:val="0"/>
    <w:pPr>
      <w:ind w:hanging="840"/>
      <w:outlineLvl w:val="5"/>
    </w:pPr>
  </w:style>
  <w:style w:type="paragraph" w:customStyle="1" w:styleId="243">
    <w:name w:val="xl4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color w:val="000000"/>
      <w:sz w:val="22"/>
      <w:szCs w:val="22"/>
    </w:rPr>
  </w:style>
  <w:style w:type="paragraph" w:customStyle="1" w:styleId="244">
    <w:name w:val="文档正文"/>
    <w:basedOn w:val="1"/>
    <w:uiPriority w:val="0"/>
    <w:pPr>
      <w:adjustRightInd/>
      <w:snapToGrid w:val="0"/>
      <w:spacing w:before="120" w:after="120" w:line="180" w:lineRule="auto"/>
      <w:ind w:firstLine="0" w:firstLineChars="0"/>
      <w:jc w:val="both"/>
      <w:textAlignment w:val="auto"/>
    </w:pPr>
    <w:rPr>
      <w:rFonts w:ascii="Arial" w:hAnsi="Arial"/>
      <w:kern w:val="2"/>
      <w:sz w:val="21"/>
    </w:rPr>
  </w:style>
  <w:style w:type="paragraph" w:customStyle="1" w:styleId="245">
    <w:name w:val="xl33"/>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eastAsia="Arial Unicode MS"/>
      <w:color w:val="000000"/>
      <w:sz w:val="20"/>
    </w:rPr>
  </w:style>
  <w:style w:type="paragraph" w:customStyle="1" w:styleId="246">
    <w:name w:val="xl42"/>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auto"/>
    </w:pPr>
    <w:rPr>
      <w:rFonts w:eastAsia="Arial Unicode MS"/>
      <w:b/>
      <w:bCs/>
      <w:color w:val="000000"/>
      <w:sz w:val="20"/>
    </w:rPr>
  </w:style>
  <w:style w:type="paragraph" w:customStyle="1" w:styleId="247">
    <w:name w:val="Char Char Char1 Char"/>
    <w:basedOn w:val="1"/>
    <w:uiPriority w:val="0"/>
    <w:pPr>
      <w:adjustRightInd/>
      <w:spacing w:line="240" w:lineRule="auto"/>
      <w:ind w:firstLine="0" w:firstLineChars="0"/>
      <w:jc w:val="both"/>
      <w:textAlignment w:val="auto"/>
    </w:pPr>
    <w:rPr>
      <w:rFonts w:ascii="Tahoma" w:hAnsi="Tahoma"/>
      <w:kern w:val="2"/>
    </w:rPr>
  </w:style>
  <w:style w:type="paragraph" w:customStyle="1" w:styleId="248">
    <w:name w:val="xl44"/>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szCs w:val="24"/>
    </w:rPr>
  </w:style>
  <w:style w:type="paragraph" w:customStyle="1" w:styleId="249">
    <w:name w:val="1名"/>
    <w:basedOn w:val="1"/>
    <w:uiPriority w:val="0"/>
    <w:pPr>
      <w:tabs>
        <w:tab w:val="left" w:pos="360"/>
        <w:tab w:val="left" w:pos="1260"/>
      </w:tabs>
      <w:adjustRightInd/>
      <w:spacing w:before="120" w:line="240" w:lineRule="auto"/>
      <w:ind w:left="1260" w:firstLine="0" w:firstLineChars="0"/>
      <w:jc w:val="both"/>
      <w:textAlignment w:val="auto"/>
    </w:pPr>
    <w:rPr>
      <w:rFonts w:ascii="宋体"/>
      <w:kern w:val="2"/>
      <w:sz w:val="28"/>
    </w:rPr>
  </w:style>
  <w:style w:type="paragraph" w:customStyle="1" w:styleId="250">
    <w:name w:val="font9"/>
    <w:basedOn w:val="1"/>
    <w:uiPriority w:val="0"/>
    <w:pPr>
      <w:widowControl/>
      <w:adjustRightInd/>
      <w:spacing w:before="100" w:beforeAutospacing="1" w:after="100" w:afterAutospacing="1" w:line="240" w:lineRule="auto"/>
      <w:ind w:firstLine="0" w:firstLineChars="0"/>
      <w:textAlignment w:val="auto"/>
    </w:pPr>
    <w:rPr>
      <w:rFonts w:ascii="宋体" w:cs="Arial Unicode MS"/>
      <w:color w:val="000000"/>
      <w:sz w:val="20"/>
    </w:rPr>
  </w:style>
  <w:style w:type="paragraph" w:customStyle="1" w:styleId="251">
    <w:name w:val="Char Char Char1 Char1"/>
    <w:basedOn w:val="1"/>
    <w:uiPriority w:val="0"/>
    <w:pPr>
      <w:adjustRightInd/>
      <w:spacing w:line="240" w:lineRule="auto"/>
      <w:ind w:firstLine="0" w:firstLineChars="0"/>
      <w:jc w:val="both"/>
      <w:textAlignment w:val="auto"/>
    </w:pPr>
    <w:rPr>
      <w:rFonts w:ascii="Tahoma" w:hAnsi="Tahoma"/>
      <w:kern w:val="2"/>
    </w:rPr>
  </w:style>
  <w:style w:type="paragraph" w:customStyle="1" w:styleId="252">
    <w:name w:val="Char Char1 Char Char Char Char Char Char Char Char"/>
    <w:basedOn w:val="1"/>
    <w:uiPriority w:val="0"/>
    <w:pPr>
      <w:widowControl/>
      <w:adjustRightInd/>
      <w:spacing w:after="160" w:line="240" w:lineRule="exact"/>
      <w:ind w:firstLine="0" w:firstLineChars="0"/>
      <w:textAlignment w:val="auto"/>
    </w:pPr>
    <w:rPr>
      <w:rFonts w:ascii="Verdana" w:hAnsi="Verdana"/>
      <w:sz w:val="20"/>
      <w:lang w:eastAsia="en-US"/>
    </w:rPr>
  </w:style>
  <w:style w:type="paragraph" w:customStyle="1" w:styleId="253">
    <w:name w:val="xl2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auto"/>
    </w:pPr>
    <w:rPr>
      <w:rFonts w:ascii="Arial Unicode MS" w:eastAsia="Arial Unicode MS" w:cs="Arial Unicode MS"/>
      <w:color w:val="000000"/>
      <w:sz w:val="20"/>
    </w:rPr>
  </w:style>
  <w:style w:type="paragraph" w:customStyle="1" w:styleId="254">
    <w:name w:val="xl47"/>
    <w:basedOn w:val="1"/>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b/>
      <w:bCs/>
      <w:color w:val="000000"/>
      <w:sz w:val="20"/>
    </w:rPr>
  </w:style>
  <w:style w:type="paragraph" w:customStyle="1" w:styleId="255">
    <w:name w:val="xl48"/>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auto"/>
    </w:pPr>
    <w:rPr>
      <w:rFonts w:ascii="Arial Unicode MS" w:eastAsia="Arial Unicode MS" w:cs="Arial Unicode MS"/>
      <w:b/>
      <w:bCs/>
      <w:color w:val="000000"/>
      <w:sz w:val="22"/>
      <w:szCs w:val="22"/>
    </w:rPr>
  </w:style>
  <w:style w:type="paragraph" w:customStyle="1" w:styleId="256">
    <w:name w:val="xl31"/>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both"/>
      <w:textAlignment w:val="top"/>
    </w:pPr>
    <w:rPr>
      <w:rFonts w:eastAsia="Arial Unicode MS"/>
      <w:color w:val="000000"/>
      <w:sz w:val="20"/>
    </w:rPr>
  </w:style>
  <w:style w:type="paragraph" w:customStyle="1" w:styleId="257">
    <w:name w:val="xl53"/>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top"/>
    </w:pPr>
    <w:rPr>
      <w:rFonts w:ascii="Arial Unicode MS" w:eastAsia="Arial Unicode MS" w:cs="Arial Unicode MS"/>
      <w:b/>
      <w:bCs/>
      <w:color w:val="000000"/>
      <w:sz w:val="20"/>
    </w:rPr>
  </w:style>
  <w:style w:type="paragraph" w:customStyle="1" w:styleId="258">
    <w:name w:val="Char Char Char1"/>
    <w:basedOn w:val="1"/>
    <w:uiPriority w:val="0"/>
    <w:pPr>
      <w:adjustRightInd/>
      <w:spacing w:line="240" w:lineRule="auto"/>
      <w:ind w:firstLine="0" w:firstLineChars="0"/>
      <w:jc w:val="both"/>
      <w:textAlignment w:val="auto"/>
    </w:pPr>
    <w:rPr>
      <w:rFonts w:ascii="Tahoma" w:hAnsi="Tahoma"/>
      <w:kern w:val="2"/>
    </w:rPr>
  </w:style>
  <w:style w:type="paragraph" w:customStyle="1" w:styleId="259">
    <w:name w:val="xl50"/>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auto"/>
    </w:pPr>
    <w:rPr>
      <w:rFonts w:ascii="Arial Unicode MS" w:eastAsia="Arial Unicode MS" w:cs="Arial Unicode MS"/>
      <w:b/>
      <w:bCs/>
      <w:color w:val="000000"/>
      <w:sz w:val="32"/>
      <w:szCs w:val="32"/>
    </w:rPr>
  </w:style>
  <w:style w:type="paragraph" w:customStyle="1" w:styleId="260">
    <w:name w:val="缺省文本"/>
    <w:basedOn w:val="1"/>
    <w:uiPriority w:val="0"/>
    <w:pPr>
      <w:autoSpaceDE w:val="0"/>
      <w:autoSpaceDN w:val="0"/>
      <w:spacing w:line="240" w:lineRule="auto"/>
      <w:ind w:firstLine="0" w:firstLineChars="0"/>
      <w:textAlignment w:val="auto"/>
    </w:pPr>
    <w:rPr>
      <w:szCs w:val="24"/>
    </w:rPr>
  </w:style>
  <w:style w:type="paragraph" w:customStyle="1" w:styleId="261">
    <w:name w:val="Char Char Char Char Char Char Char1"/>
    <w:basedOn w:val="1"/>
    <w:uiPriority w:val="0"/>
    <w:pPr>
      <w:adjustRightInd/>
      <w:snapToGrid w:val="0"/>
      <w:ind w:firstLine="200"/>
      <w:jc w:val="both"/>
      <w:textAlignment w:val="auto"/>
    </w:pPr>
    <w:rPr>
      <w:rFonts w:eastAsia="仿宋_GB2312"/>
      <w:kern w:val="2"/>
      <w:szCs w:val="24"/>
    </w:rPr>
  </w:style>
  <w:style w:type="paragraph" w:customStyle="1" w:styleId="262">
    <w:name w:val="xl51"/>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both"/>
      <w:textAlignment w:val="top"/>
    </w:pPr>
    <w:rPr>
      <w:rFonts w:ascii="Arial Unicode MS" w:eastAsia="Arial Unicode MS" w:cs="Arial Unicode MS"/>
      <w:b/>
      <w:bCs/>
      <w:color w:val="000000"/>
      <w:sz w:val="20"/>
    </w:rPr>
  </w:style>
  <w:style w:type="paragraph" w:customStyle="1" w:styleId="263">
    <w:name w:val="正文缩进3"/>
    <w:basedOn w:val="1"/>
    <w:uiPriority w:val="0"/>
    <w:pPr>
      <w:widowControl/>
      <w:snapToGrid w:val="0"/>
      <w:spacing w:line="480" w:lineRule="exact"/>
      <w:ind w:firstLine="567" w:firstLineChars="0"/>
      <w:jc w:val="both"/>
      <w:textAlignment w:val="auto"/>
    </w:pPr>
    <w:rPr>
      <w:rFonts w:ascii="宋体"/>
      <w:snapToGrid w:val="0"/>
      <w:color w:val="000000"/>
      <w:kern w:val="28"/>
      <w:sz w:val="28"/>
    </w:rPr>
  </w:style>
  <w:style w:type="paragraph" w:customStyle="1" w:styleId="264">
    <w:name w:val="xl24"/>
    <w:basedOn w:val="1"/>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textAlignment w:val="auto"/>
    </w:pPr>
    <w:rPr>
      <w:rFonts w:ascii="Arial Unicode MS" w:eastAsia="Arial Unicode MS" w:cs="Arial Unicode MS"/>
      <w:b/>
      <w:bCs/>
      <w:color w:val="000000"/>
      <w:sz w:val="20"/>
    </w:rPr>
  </w:style>
  <w:style w:type="paragraph" w:customStyle="1" w:styleId="265">
    <w:name w:val="xl29"/>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sz w:val="20"/>
    </w:rPr>
  </w:style>
  <w:style w:type="paragraph" w:customStyle="1" w:styleId="266">
    <w:name w:val="正文 + 楷体_GB2312"/>
    <w:basedOn w:val="1"/>
    <w:uiPriority w:val="0"/>
    <w:pPr>
      <w:widowControl/>
      <w:adjustRightInd/>
      <w:spacing w:line="240" w:lineRule="auto"/>
      <w:ind w:firstLine="0" w:firstLineChars="0"/>
      <w:textAlignment w:val="auto"/>
    </w:pPr>
    <w:rPr>
      <w:rFonts w:ascii="楷体_GB2312" w:eastAsia="楷体_GB2312" w:cs="Arial"/>
      <w:szCs w:val="24"/>
    </w:rPr>
  </w:style>
  <w:style w:type="paragraph" w:customStyle="1" w:styleId="267">
    <w:name w:val="xl34"/>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ind w:firstLine="0" w:firstLineChars="0"/>
      <w:jc w:val="center"/>
      <w:textAlignment w:val="center"/>
    </w:pPr>
    <w:rPr>
      <w:color w:val="FF6600"/>
      <w:sz w:val="20"/>
    </w:rPr>
  </w:style>
  <w:style w:type="paragraph" w:customStyle="1" w:styleId="268">
    <w:name w:val="1 Char Char Char Char"/>
    <w:basedOn w:val="1"/>
    <w:uiPriority w:val="0"/>
    <w:pPr>
      <w:adjustRightInd/>
      <w:spacing w:line="240" w:lineRule="auto"/>
      <w:ind w:firstLine="0" w:firstLineChars="0"/>
      <w:jc w:val="both"/>
      <w:textAlignment w:val="auto"/>
    </w:pPr>
    <w:rPr>
      <w:rFonts w:ascii="Tahoma" w:hAnsi="Tahoma"/>
      <w:kern w:val="2"/>
    </w:rPr>
  </w:style>
  <w:style w:type="paragraph" w:customStyle="1" w:styleId="269">
    <w:name w:val="default"/>
    <w:basedOn w:val="1"/>
    <w:uiPriority w:val="0"/>
    <w:pPr>
      <w:widowControl/>
      <w:adjustRightInd/>
      <w:spacing w:before="100" w:beforeAutospacing="1" w:after="100" w:afterAutospacing="1" w:line="240" w:lineRule="auto"/>
      <w:ind w:firstLine="0" w:firstLineChars="0"/>
      <w:textAlignment w:val="auto"/>
    </w:pPr>
    <w:rPr>
      <w:rFonts w:ascii="宋体" w:cs="宋体"/>
      <w:szCs w:val="24"/>
    </w:rPr>
  </w:style>
  <w:style w:type="paragraph" w:customStyle="1" w:styleId="270">
    <w:name w:val="字元 字元1"/>
    <w:basedOn w:val="1"/>
    <w:uiPriority w:val="0"/>
    <w:pPr>
      <w:adjustRightInd/>
      <w:spacing w:line="240" w:lineRule="auto"/>
      <w:ind w:firstLine="0" w:firstLineChars="0"/>
      <w:jc w:val="both"/>
      <w:textAlignment w:val="auto"/>
    </w:pPr>
    <w:rPr>
      <w:rFonts w:ascii="Tahoma" w:hAnsi="Tahoma"/>
      <w:kern w:val="2"/>
    </w:rPr>
  </w:style>
  <w:style w:type="paragraph" w:customStyle="1" w:styleId="271">
    <w:name w:val="Revision"/>
    <w:uiPriority w:val="99"/>
    <w:rPr>
      <w:rFonts w:ascii="Times New Roman" w:hAnsi="Times New Roman" w:eastAsia="宋体" w:cs="Times New Roman"/>
      <w:kern w:val="2"/>
      <w:sz w:val="21"/>
      <w:szCs w:val="24"/>
      <w:lang w:val="en-US" w:eastAsia="zh-CN" w:bidi="ar-SA"/>
    </w:rPr>
  </w:style>
  <w:style w:type="paragraph" w:customStyle="1" w:styleId="272">
    <w:name w:val="项目编号3"/>
    <w:basedOn w:val="240"/>
    <w:uiPriority w:val="0"/>
    <w:pPr>
      <w:ind w:left="1260" w:hanging="420"/>
    </w:pPr>
  </w:style>
  <w:style w:type="paragraph" w:customStyle="1" w:styleId="273">
    <w:name w:val="Char21"/>
    <w:basedOn w:val="1"/>
    <w:uiPriority w:val="0"/>
    <w:pPr>
      <w:adjustRightInd/>
      <w:spacing w:line="240" w:lineRule="auto"/>
      <w:ind w:firstLine="0" w:firstLineChars="0"/>
      <w:jc w:val="both"/>
      <w:textAlignment w:val="auto"/>
    </w:pPr>
    <w:rPr>
      <w:rFonts w:ascii="Tahoma" w:hAnsi="Tahoma"/>
      <w:kern w:val="2"/>
    </w:rPr>
  </w:style>
  <w:style w:type="paragraph" w:customStyle="1" w:styleId="274">
    <w:name w:val="表格文字"/>
    <w:basedOn w:val="20"/>
    <w:uiPriority w:val="99"/>
    <w:pPr>
      <w:adjustRightInd/>
      <w:spacing w:before="20" w:after="20"/>
      <w:ind w:left="0" w:leftChars="0" w:firstLine="0" w:firstLineChars="0"/>
      <w:jc w:val="both"/>
      <w:textAlignment w:val="auto"/>
    </w:pPr>
    <w:rPr>
      <w:rFonts w:ascii="Century Gothic" w:hAnsi="Century Gothic"/>
      <w:kern w:val="2"/>
      <w:sz w:val="20"/>
      <w:szCs w:val="20"/>
    </w:rPr>
  </w:style>
  <w:style w:type="paragraph" w:customStyle="1" w:styleId="275">
    <w:name w:val="Char Char Char Char Char Char Char Char Char Char1"/>
    <w:basedOn w:val="1"/>
    <w:uiPriority w:val="0"/>
    <w:pPr>
      <w:adjustRightInd/>
      <w:spacing w:line="240" w:lineRule="auto"/>
      <w:ind w:firstLine="0" w:firstLineChars="0"/>
      <w:jc w:val="both"/>
      <w:textAlignment w:val="auto"/>
    </w:pPr>
    <w:rPr>
      <w:rFonts w:ascii="宋体" w:cs="Courier New"/>
      <w:kern w:val="2"/>
      <w:sz w:val="32"/>
      <w:szCs w:val="32"/>
    </w:rPr>
  </w:style>
  <w:style w:type="paragraph" w:customStyle="1" w:styleId="276">
    <w:name w:val="正文文本样式 加粗"/>
    <w:basedOn w:val="240"/>
    <w:uiPriority w:val="0"/>
    <w:rPr>
      <w:b/>
    </w:rPr>
  </w:style>
  <w:style w:type="paragraph" w:customStyle="1" w:styleId="277">
    <w:name w:val="Char2 Char Char Char Char Char Char"/>
    <w:basedOn w:val="1"/>
    <w:qFormat/>
    <w:uiPriority w:val="0"/>
    <w:pPr>
      <w:widowControl/>
      <w:adjustRightInd/>
      <w:spacing w:line="400" w:lineRule="exact"/>
      <w:ind w:firstLine="0" w:firstLineChars="0"/>
      <w:jc w:val="center"/>
      <w:textAlignment w:val="auto"/>
    </w:pPr>
    <w:rPr>
      <w:kern w:val="2"/>
      <w:sz w:val="21"/>
      <w:szCs w:val="24"/>
    </w:rPr>
  </w:style>
  <w:style w:type="paragraph" w:customStyle="1" w:styleId="278">
    <w:name w:val="Char Char4"/>
    <w:basedOn w:val="1"/>
    <w:uiPriority w:val="0"/>
    <w:pPr>
      <w:widowControl/>
      <w:adjustRightInd/>
      <w:spacing w:line="400" w:lineRule="exact"/>
      <w:ind w:firstLine="0" w:firstLineChars="0"/>
      <w:jc w:val="center"/>
      <w:textAlignment w:val="auto"/>
    </w:pPr>
    <w:rPr>
      <w:kern w:val="2"/>
      <w:sz w:val="21"/>
      <w:szCs w:val="24"/>
    </w:rPr>
  </w:style>
  <w:style w:type="paragraph" w:customStyle="1" w:styleId="279">
    <w:name w:val="Char3 Char Char Char1"/>
    <w:basedOn w:val="1"/>
    <w:uiPriority w:val="0"/>
    <w:pPr>
      <w:adjustRightInd/>
      <w:spacing w:line="240" w:lineRule="auto"/>
      <w:ind w:firstLine="0" w:firstLineChars="0"/>
      <w:jc w:val="both"/>
      <w:textAlignment w:val="auto"/>
    </w:pPr>
    <w:rPr>
      <w:rFonts w:ascii="Tahoma" w:hAnsi="Tahoma"/>
      <w:kern w:val="2"/>
    </w:rPr>
  </w:style>
  <w:style w:type="paragraph" w:styleId="2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1">
    <w:name w:val="22222222222222"/>
    <w:basedOn w:val="1"/>
    <w:uiPriority w:val="0"/>
    <w:pPr>
      <w:widowControl/>
      <w:ind w:firstLine="200"/>
      <w:textAlignment w:val="auto"/>
    </w:pPr>
    <w:rPr>
      <w:color w:val="FF0000"/>
    </w:rPr>
  </w:style>
  <w:style w:type="character" w:customStyle="1" w:styleId="282">
    <w:name w:val="正文文本 2 Char"/>
    <w:basedOn w:val="49"/>
    <w:link w:val="39"/>
    <w:uiPriority w:val="99"/>
    <w:rPr>
      <w:sz w:val="24"/>
    </w:rPr>
  </w:style>
  <w:style w:type="character" w:customStyle="1" w:styleId="283">
    <w:name w:val="正文首行缩进 Char"/>
    <w:basedOn w:val="184"/>
    <w:link w:val="45"/>
    <w:uiPriority w:val="0"/>
    <w:rPr>
      <w:kern w:val="2"/>
      <w:sz w:val="24"/>
    </w:rPr>
  </w:style>
  <w:style w:type="paragraph" w:customStyle="1" w:styleId="284">
    <w:name w:val="Blockquote"/>
    <w:basedOn w:val="1"/>
    <w:uiPriority w:val="0"/>
    <w:pPr>
      <w:autoSpaceDE w:val="0"/>
      <w:autoSpaceDN w:val="0"/>
      <w:spacing w:before="100" w:after="100" w:line="240" w:lineRule="auto"/>
      <w:ind w:left="360" w:right="360" w:firstLine="0" w:firstLineChars="0"/>
      <w:textAlignment w:val="auto"/>
    </w:pPr>
  </w:style>
  <w:style w:type="paragraph" w:customStyle="1" w:styleId="285">
    <w:name w:val="样式 左 首行缩进:  1.06 厘米 行距: 1.5 倍行距"/>
    <w:basedOn w:val="1"/>
    <w:uiPriority w:val="0"/>
    <w:pPr>
      <w:adjustRightInd/>
      <w:spacing w:line="240" w:lineRule="auto"/>
      <w:ind w:firstLine="601" w:firstLineChars="0"/>
      <w:textAlignment w:val="auto"/>
    </w:pPr>
    <w:rPr>
      <w:rFonts w:cs="宋体"/>
      <w:kern w:val="2"/>
    </w:rPr>
  </w:style>
  <w:style w:type="paragraph" w:customStyle="1" w:styleId="286">
    <w:name w:val="reader-word-layer"/>
    <w:basedOn w:val="1"/>
    <w:uiPriority w:val="0"/>
    <w:pPr>
      <w:widowControl/>
      <w:adjustRightInd/>
      <w:spacing w:before="100" w:beforeAutospacing="1" w:after="100" w:afterAutospacing="1" w:line="240" w:lineRule="auto"/>
      <w:ind w:firstLine="0" w:firstLineChars="0"/>
      <w:textAlignment w:val="auto"/>
    </w:pPr>
    <w:rPr>
      <w:rFonts w:ascii="宋体" w:hAnsi="宋体" w:cs="宋体"/>
      <w:szCs w:val="24"/>
    </w:rPr>
  </w:style>
  <w:style w:type="paragraph" w:customStyle="1" w:styleId="287">
    <w:name w:val="字元 字元2"/>
    <w:basedOn w:val="1"/>
    <w:uiPriority w:val="0"/>
    <w:pPr>
      <w:adjustRightInd/>
      <w:spacing w:line="240" w:lineRule="auto"/>
      <w:ind w:firstLine="0" w:firstLineChars="0"/>
      <w:jc w:val="both"/>
      <w:textAlignment w:val="auto"/>
    </w:pPr>
    <w:rPr>
      <w:rFonts w:ascii="Tahoma" w:hAnsi="Tahoma"/>
      <w:kern w:val="2"/>
    </w:rPr>
  </w:style>
  <w:style w:type="paragraph" w:customStyle="1" w:styleId="288">
    <w:name w:val="样式 标题 2 + Times New Roman 四号 非加粗 段前: 5 磅 段后: 0 磅 行距: 固定值 20..."/>
    <w:basedOn w:val="3"/>
    <w:uiPriority w:val="99"/>
    <w:pPr>
      <w:adjustRightInd/>
      <w:spacing w:before="100" w:after="0" w:line="400" w:lineRule="exact"/>
      <w:jc w:val="both"/>
      <w:textAlignment w:val="auto"/>
    </w:pPr>
    <w:rPr>
      <w:rFonts w:ascii="Times New Roman" w:hAnsi="Times New Roman" w:eastAsia="黑体" w:cs="宋体"/>
      <w:b w:val="0"/>
      <w:bCs w:val="0"/>
      <w:kern w:val="2"/>
      <w:szCs w:val="20"/>
    </w:rPr>
  </w:style>
  <w:style w:type="paragraph" w:customStyle="1" w:styleId="289">
    <w:name w:val="3"/>
    <w:basedOn w:val="1"/>
    <w:next w:val="18"/>
    <w:uiPriority w:val="99"/>
    <w:pPr>
      <w:adjustRightInd/>
      <w:ind w:firstLine="0" w:firstLineChars="0"/>
      <w:jc w:val="both"/>
      <w:textAlignment w:val="auto"/>
    </w:pPr>
    <w:rPr>
      <w:rFonts w:ascii="宋体"/>
      <w:kern w:val="2"/>
    </w:rPr>
  </w:style>
  <w:style w:type="paragraph" w:customStyle="1" w:styleId="290">
    <w:name w:val="样式 标题 3 + (中文) 黑体 小四 非加粗 段前: 7.8 磅 段后: 0 磅 行距: 固定值 20 磅"/>
    <w:basedOn w:val="4"/>
    <w:uiPriority w:val="0"/>
    <w:pPr>
      <w:adjustRightInd/>
      <w:spacing w:before="0" w:after="0" w:line="400" w:lineRule="exact"/>
      <w:jc w:val="both"/>
      <w:textAlignment w:val="auto"/>
    </w:pPr>
    <w:rPr>
      <w:rFonts w:ascii="Times New Roman" w:hAnsi="Times New Roman" w:eastAsia="黑体"/>
      <w:b w:val="0"/>
      <w:bCs w:val="0"/>
      <w:kern w:val="2"/>
      <w:szCs w:val="20"/>
    </w:rPr>
  </w:style>
  <w:style w:type="paragraph" w:customStyle="1" w:styleId="291">
    <w:name w:val="2"/>
    <w:basedOn w:val="1"/>
    <w:next w:val="20"/>
    <w:uiPriority w:val="99"/>
    <w:pPr>
      <w:adjustRightInd/>
      <w:ind w:left="432" w:firstLine="0" w:firstLineChars="0"/>
      <w:jc w:val="both"/>
      <w:textAlignment w:val="auto"/>
    </w:pPr>
    <w:rPr>
      <w:kern w:val="2"/>
      <w:sz w:val="21"/>
    </w:rPr>
  </w:style>
  <w:style w:type="character" w:customStyle="1" w:styleId="292">
    <w:name w:val="Char Char"/>
    <w:uiPriority w:val="0"/>
    <w:rPr>
      <w:rFonts w:ascii="Arial" w:hAnsi="Arial" w:eastAsia="黑体"/>
      <w:b/>
      <w:bCs/>
      <w:kern w:val="2"/>
      <w:sz w:val="32"/>
      <w:szCs w:val="32"/>
      <w:lang w:val="en-US" w:eastAsia="zh-CN" w:bidi="ar-SA"/>
    </w:rPr>
  </w:style>
  <w:style w:type="paragraph" w:customStyle="1" w:styleId="293">
    <w:name w:val="样式 标题 1 + 黑体 三号 非加粗 居中 段前: 6 磅 段后: 6 磅 行距: 固定值 20 磅"/>
    <w:basedOn w:val="2"/>
    <w:uiPriority w:val="99"/>
    <w:pPr>
      <w:numPr>
        <w:numId w:val="0"/>
      </w:numPr>
      <w:adjustRightInd/>
      <w:spacing w:before="120" w:after="120" w:line="400" w:lineRule="exact"/>
      <w:textAlignment w:val="auto"/>
    </w:pPr>
    <w:rPr>
      <w:rFonts w:ascii="黑体" w:hAnsi="黑体" w:eastAsia="黑体" w:cs="宋体"/>
      <w:b w:val="0"/>
      <w:bCs w:val="0"/>
      <w:sz w:val="32"/>
      <w:szCs w:val="20"/>
    </w:rPr>
  </w:style>
  <w:style w:type="paragraph" w:customStyle="1" w:styleId="294">
    <w:name w:val="Char1"/>
    <w:basedOn w:val="1"/>
    <w:uiPriority w:val="99"/>
    <w:pPr>
      <w:adjustRightInd/>
      <w:ind w:firstLine="0" w:firstLineChars="0"/>
      <w:jc w:val="both"/>
      <w:textAlignment w:val="auto"/>
    </w:pPr>
    <w:rPr>
      <w:rFonts w:ascii="Tahoma" w:hAnsi="Tahoma"/>
      <w:kern w:val="2"/>
    </w:rPr>
  </w:style>
  <w:style w:type="paragraph" w:customStyle="1" w:styleId="295">
    <w:name w:val="1"/>
    <w:basedOn w:val="1"/>
    <w:uiPriority w:val="99"/>
    <w:pPr>
      <w:adjustRightInd/>
      <w:ind w:firstLine="0" w:firstLineChars="0"/>
      <w:jc w:val="both"/>
      <w:textAlignment w:val="auto"/>
    </w:pPr>
    <w:rPr>
      <w:kern w:val="2"/>
      <w:sz w:val="21"/>
      <w:szCs w:val="24"/>
    </w:rPr>
  </w:style>
  <w:style w:type="character" w:customStyle="1" w:styleId="296">
    <w:name w:val="font161"/>
    <w:uiPriority w:val="99"/>
    <w:rPr>
      <w:b/>
      <w:bCs/>
      <w:sz w:val="32"/>
      <w:szCs w:val="32"/>
    </w:rPr>
  </w:style>
  <w:style w:type="paragraph" w:customStyle="1" w:styleId="297">
    <w:name w:val="6'"/>
    <w:basedOn w:val="1"/>
    <w:uiPriority w:val="99"/>
    <w:pPr>
      <w:autoSpaceDE w:val="0"/>
      <w:autoSpaceDN w:val="0"/>
      <w:snapToGrid w:val="0"/>
      <w:spacing w:line="320" w:lineRule="exact"/>
      <w:ind w:firstLine="0" w:firstLineChars="0"/>
      <w:jc w:val="center"/>
    </w:pPr>
    <w:rPr>
      <w:spacing w:val="20"/>
      <w:kern w:val="28"/>
      <w:sz w:val="21"/>
    </w:rPr>
  </w:style>
  <w:style w:type="paragraph" w:customStyle="1" w:styleId="298">
    <w:name w:val="表格"/>
    <w:basedOn w:val="1"/>
    <w:uiPriority w:val="99"/>
    <w:pPr>
      <w:adjustRightInd/>
      <w:ind w:firstLine="0" w:firstLineChars="0"/>
      <w:jc w:val="center"/>
      <w:textAlignment w:val="center"/>
    </w:pPr>
    <w:rPr>
      <w:rFonts w:ascii="华文细黑" w:hAnsi="华文细黑"/>
      <w:sz w:val="21"/>
    </w:rPr>
  </w:style>
  <w:style w:type="paragraph" w:customStyle="1" w:styleId="299">
    <w:name w:val="XW正文"/>
    <w:basedOn w:val="20"/>
    <w:uiPriority w:val="99"/>
    <w:pPr>
      <w:snapToGrid w:val="0"/>
      <w:spacing w:line="300" w:lineRule="auto"/>
      <w:ind w:left="0" w:leftChars="0" w:firstLine="520"/>
      <w:textAlignment w:val="auto"/>
    </w:pPr>
    <w:rPr>
      <w:rFonts w:ascii="Times New Roman" w:hAnsi="Times New Roman"/>
      <w:sz w:val="21"/>
      <w:szCs w:val="24"/>
    </w:rPr>
  </w:style>
  <w:style w:type="paragraph" w:customStyle="1" w:styleId="300">
    <w:name w:val="金安桥正文"/>
    <w:basedOn w:val="20"/>
    <w:uiPriority w:val="99"/>
    <w:pPr>
      <w:spacing w:line="300" w:lineRule="auto"/>
      <w:ind w:left="0" w:leftChars="0" w:firstLine="200"/>
      <w:textAlignment w:val="auto"/>
    </w:pPr>
    <w:rPr>
      <w:rFonts w:ascii="Times New Roman" w:hAnsi="Times New Roman"/>
      <w:szCs w:val="20"/>
    </w:rPr>
  </w:style>
  <w:style w:type="character" w:customStyle="1" w:styleId="301">
    <w:name w:val="样式 粉红"/>
    <w:qFormat/>
    <w:uiPriority w:val="99"/>
    <w:rPr>
      <w:color w:val="auto"/>
      <w:u w:val="none"/>
    </w:rPr>
  </w:style>
  <w:style w:type="character" w:customStyle="1" w:styleId="302">
    <w:name w:val="Char Char121"/>
    <w:uiPriority w:val="0"/>
    <w:rPr>
      <w:rFonts w:eastAsia="宋体"/>
      <w:kern w:val="2"/>
      <w:sz w:val="24"/>
      <w:lang w:val="en-US" w:eastAsia="zh-CN" w:bidi="ar-SA"/>
    </w:rPr>
  </w:style>
  <w:style w:type="paragraph" w:customStyle="1" w:styleId="303">
    <w:name w:val="TOC Heading"/>
    <w:basedOn w:val="2"/>
    <w:next w:val="1"/>
    <w:qFormat/>
    <w:uiPriority w:val="99"/>
    <w:pPr>
      <w:widowControl/>
      <w:numPr>
        <w:numId w:val="0"/>
      </w:numPr>
      <w:adjustRightInd/>
      <w:spacing w:before="480" w:after="0" w:line="276" w:lineRule="auto"/>
      <w:jc w:val="left"/>
      <w:textAlignment w:val="auto"/>
      <w:outlineLvl w:val="9"/>
    </w:pPr>
    <w:rPr>
      <w:rFonts w:ascii="Cambria" w:hAnsi="Cambria"/>
      <w:color w:val="365F91"/>
      <w:kern w:val="0"/>
    </w:rPr>
  </w:style>
  <w:style w:type="paragraph" w:customStyle="1" w:styleId="304">
    <w:name w:val="Char Char Char Char21"/>
    <w:basedOn w:val="1"/>
    <w:uiPriority w:val="99"/>
    <w:pPr>
      <w:widowControl/>
      <w:adjustRightInd/>
      <w:spacing w:after="160" w:line="240" w:lineRule="exact"/>
      <w:ind w:firstLine="0" w:firstLineChars="0"/>
      <w:textAlignment w:val="auto"/>
    </w:pPr>
    <w:rPr>
      <w:kern w:val="2"/>
      <w:sz w:val="21"/>
    </w:rPr>
  </w:style>
  <w:style w:type="paragraph" w:customStyle="1" w:styleId="305">
    <w:name w:val="p17"/>
    <w:basedOn w:val="1"/>
    <w:uiPriority w:val="99"/>
    <w:pPr>
      <w:widowControl/>
      <w:adjustRightInd/>
      <w:ind w:firstLine="0" w:firstLineChars="0"/>
      <w:jc w:val="both"/>
      <w:textAlignment w:val="auto"/>
    </w:pPr>
    <w:rPr>
      <w:sz w:val="21"/>
      <w:szCs w:val="21"/>
    </w:rPr>
  </w:style>
  <w:style w:type="paragraph" w:customStyle="1" w:styleId="306">
    <w:name w:val="Normal_0"/>
    <w:qFormat/>
    <w:uiPriority w:val="99"/>
    <w:pPr>
      <w:spacing w:before="120" w:after="240" w:line="360" w:lineRule="auto"/>
      <w:jc w:val="both"/>
    </w:pPr>
    <w:rPr>
      <w:rFonts w:ascii="Calibri" w:hAnsi="Calibri" w:eastAsia="Calibri" w:cs="Times New Roman"/>
      <w:sz w:val="22"/>
      <w:szCs w:val="22"/>
      <w:lang w:val="ru-RU" w:eastAsia="en-US" w:bidi="ar-SA"/>
    </w:rPr>
  </w:style>
  <w:style w:type="character" w:customStyle="1" w:styleId="307">
    <w:name w:val="标题 3 Char"/>
    <w:basedOn w:val="49"/>
    <w:link w:val="4"/>
    <w:uiPriority w:val="99"/>
    <w:rPr>
      <w:rFonts w:ascii="宋体" w:hAnsi="宋体"/>
      <w:b/>
      <w:bCs/>
      <w:sz w:val="24"/>
      <w:szCs w:val="24"/>
    </w:rPr>
  </w:style>
  <w:style w:type="character" w:customStyle="1" w:styleId="308">
    <w:name w:val="标题 5 Char"/>
    <w:basedOn w:val="49"/>
    <w:link w:val="6"/>
    <w:uiPriority w:val="99"/>
    <w:rPr>
      <w:b/>
      <w:bCs/>
      <w:sz w:val="28"/>
      <w:szCs w:val="28"/>
    </w:rPr>
  </w:style>
  <w:style w:type="character" w:customStyle="1" w:styleId="309">
    <w:name w:val="标题 6 Char"/>
    <w:basedOn w:val="49"/>
    <w:link w:val="7"/>
    <w:uiPriority w:val="99"/>
    <w:rPr>
      <w:rFonts w:ascii="Arial" w:hAnsi="Arial" w:eastAsia="黑体"/>
      <w:b/>
      <w:bCs/>
      <w:sz w:val="24"/>
      <w:szCs w:val="24"/>
    </w:rPr>
  </w:style>
  <w:style w:type="character" w:customStyle="1" w:styleId="310">
    <w:name w:val="标题 7 Char"/>
    <w:basedOn w:val="49"/>
    <w:link w:val="8"/>
    <w:uiPriority w:val="99"/>
    <w:rPr>
      <w:b/>
      <w:bCs/>
      <w:sz w:val="24"/>
      <w:szCs w:val="24"/>
    </w:rPr>
  </w:style>
  <w:style w:type="character" w:customStyle="1" w:styleId="311">
    <w:name w:val="标题 8 Char"/>
    <w:basedOn w:val="49"/>
    <w:link w:val="9"/>
    <w:uiPriority w:val="99"/>
    <w:rPr>
      <w:rFonts w:ascii="Arial" w:hAnsi="Arial" w:eastAsia="黑体"/>
      <w:sz w:val="24"/>
      <w:szCs w:val="24"/>
    </w:rPr>
  </w:style>
  <w:style w:type="character" w:customStyle="1" w:styleId="312">
    <w:name w:val="标题 9 Char"/>
    <w:basedOn w:val="49"/>
    <w:link w:val="10"/>
    <w:uiPriority w:val="99"/>
    <w:rPr>
      <w:rFonts w:ascii="Arial" w:hAnsi="Arial" w:eastAsia="黑体"/>
      <w:sz w:val="21"/>
      <w:szCs w:val="21"/>
    </w:rPr>
  </w:style>
  <w:style w:type="character" w:customStyle="1" w:styleId="313">
    <w:name w:val="正文文本 3 Char"/>
    <w:basedOn w:val="49"/>
    <w:link w:val="18"/>
    <w:uiPriority w:val="99"/>
    <w:rPr>
      <w:kern w:val="2"/>
      <w:sz w:val="16"/>
      <w:szCs w:val="16"/>
    </w:rPr>
  </w:style>
  <w:style w:type="character" w:customStyle="1" w:styleId="314">
    <w:name w:val="正文文本缩进 2 Char"/>
    <w:basedOn w:val="49"/>
    <w:link w:val="28"/>
    <w:uiPriority w:val="99"/>
    <w:rPr>
      <w:rFonts w:ascii="宋体" w:hAnsi="宋体"/>
      <w:sz w:val="24"/>
      <w:szCs w:val="21"/>
    </w:rPr>
  </w:style>
  <w:style w:type="character" w:customStyle="1" w:styleId="315">
    <w:name w:val="正文文本缩进 3 Char"/>
    <w:basedOn w:val="49"/>
    <w:link w:val="36"/>
    <w:uiPriority w:val="99"/>
    <w:rPr>
      <w:sz w:val="28"/>
    </w:rPr>
  </w:style>
  <w:style w:type="character" w:customStyle="1" w:styleId="316">
    <w:name w:val="批注框文本 Char"/>
    <w:basedOn w:val="49"/>
    <w:link w:val="29"/>
    <w:uiPriority w:val="0"/>
    <w:rPr>
      <w:sz w:val="18"/>
      <w:szCs w:val="18"/>
    </w:rPr>
  </w:style>
  <w:style w:type="character" w:customStyle="1" w:styleId="317">
    <w:name w:val="文档结构图 Char"/>
    <w:basedOn w:val="49"/>
    <w:link w:val="15"/>
    <w:uiPriority w:val="99"/>
    <w:rPr>
      <w:sz w:val="24"/>
      <w:shd w:val="clear" w:color="auto" w:fill="000080"/>
    </w:rPr>
  </w:style>
  <w:style w:type="character" w:customStyle="1" w:styleId="318">
    <w:name w:val="Char Char21"/>
    <w:uiPriority w:val="0"/>
    <w:rPr>
      <w:rFonts w:ascii="Arial" w:hAnsi="Arial" w:eastAsia="黑体"/>
      <w:b/>
      <w:bCs/>
      <w:kern w:val="2"/>
      <w:sz w:val="32"/>
      <w:szCs w:val="32"/>
      <w:lang w:val="en-US" w:eastAsia="zh-CN" w:bidi="ar-SA"/>
    </w:rPr>
  </w:style>
  <w:style w:type="paragraph" w:customStyle="1" w:styleId="319">
    <w:name w:val="样式"/>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20">
    <w:name w:val="Char Char2"/>
    <w:uiPriority w:val="99"/>
    <w:rPr>
      <w:rFonts w:ascii="Arial" w:hAnsi="Arial" w:eastAsia="黑体"/>
      <w:b/>
      <w:kern w:val="2"/>
      <w:sz w:val="32"/>
      <w:lang w:val="en-US" w:eastAsia="zh-CN"/>
    </w:rPr>
  </w:style>
  <w:style w:type="paragraph" w:customStyle="1" w:styleId="321">
    <w:name w:val="Char12"/>
    <w:basedOn w:val="1"/>
    <w:uiPriority w:val="99"/>
    <w:pPr>
      <w:adjustRightInd/>
      <w:spacing w:line="240" w:lineRule="auto"/>
      <w:ind w:firstLine="0" w:firstLineChars="0"/>
      <w:jc w:val="both"/>
      <w:textAlignment w:val="auto"/>
    </w:pPr>
    <w:rPr>
      <w:rFonts w:ascii="Tahoma" w:hAnsi="Tahoma"/>
      <w:kern w:val="2"/>
    </w:rPr>
  </w:style>
  <w:style w:type="character" w:customStyle="1" w:styleId="322">
    <w:name w:val="Char Char12"/>
    <w:uiPriority w:val="99"/>
    <w:rPr>
      <w:rFonts w:eastAsia="宋体"/>
      <w:kern w:val="2"/>
      <w:sz w:val="24"/>
      <w:lang w:val="en-US" w:eastAsia="zh-CN"/>
    </w:rPr>
  </w:style>
  <w:style w:type="paragraph" w:customStyle="1" w:styleId="323">
    <w:name w:val="Char Char Char Char2"/>
    <w:basedOn w:val="1"/>
    <w:uiPriority w:val="99"/>
    <w:pPr>
      <w:widowControl/>
      <w:adjustRightInd/>
      <w:spacing w:after="160" w:line="240" w:lineRule="exact"/>
      <w:ind w:firstLine="0" w:firstLineChars="0"/>
      <w:textAlignment w:val="auto"/>
    </w:pPr>
    <w:rPr>
      <w:kern w:val="2"/>
      <w:sz w:val="21"/>
    </w:rPr>
  </w:style>
  <w:style w:type="paragraph" w:customStyle="1" w:styleId="324">
    <w:name w:val="访问过的超链接1"/>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25">
    <w:name w:val="Char11"/>
    <w:basedOn w:val="1"/>
    <w:uiPriority w:val="99"/>
    <w:pPr>
      <w:adjustRightInd/>
      <w:spacing w:line="240" w:lineRule="auto"/>
      <w:ind w:firstLine="0" w:firstLineChars="0"/>
      <w:jc w:val="both"/>
      <w:textAlignment w:val="auto"/>
    </w:pPr>
    <w:rPr>
      <w:rFonts w:ascii="Tahoma" w:hAnsi="Tahoma"/>
      <w:kern w:val="2"/>
    </w:rPr>
  </w:style>
  <w:style w:type="paragraph" w:customStyle="1" w:styleId="326">
    <w:name w:val="_Style 325"/>
    <w:uiPriority w:val="99"/>
    <w:pPr>
      <w:widowControl w:val="0"/>
      <w:adjustRightInd w:val="0"/>
      <w:spacing w:line="360" w:lineRule="auto"/>
      <w:ind w:firstLine="480" w:firstLineChars="200"/>
      <w:textAlignment w:val="baseline"/>
    </w:pPr>
    <w:rPr>
      <w:rFonts w:ascii="Times New Roman" w:hAnsi="Times New Roman" w:eastAsia="宋体" w:cs="Times New Roman"/>
      <w:sz w:val="24"/>
      <w:lang w:val="en-US" w:eastAsia="zh-CN" w:bidi="ar-SA"/>
    </w:rPr>
  </w:style>
  <w:style w:type="paragraph" w:customStyle="1" w:styleId="327">
    <w:name w:val="Char13"/>
    <w:basedOn w:val="1"/>
    <w:uiPriority w:val="99"/>
    <w:pPr>
      <w:adjustRightInd/>
      <w:ind w:firstLine="0" w:firstLineChars="0"/>
      <w:jc w:val="both"/>
      <w:textAlignment w:val="auto"/>
    </w:pPr>
    <w:rPr>
      <w:rFonts w:ascii="Tahoma" w:hAnsi="Tahoma"/>
      <w:kern w:val="2"/>
    </w:rPr>
  </w:style>
  <w:style w:type="character" w:customStyle="1" w:styleId="328">
    <w:name w:val="Char Char13"/>
    <w:uiPriority w:val="99"/>
    <w:rPr>
      <w:rFonts w:eastAsia="宋体"/>
      <w:kern w:val="2"/>
      <w:sz w:val="24"/>
      <w:lang w:val="en-US" w:eastAsia="zh-CN" w:bidi="ar-SA"/>
    </w:rPr>
  </w:style>
  <w:style w:type="paragraph" w:customStyle="1" w:styleId="329">
    <w:name w:val="Char Char Char Char3"/>
    <w:basedOn w:val="1"/>
    <w:uiPriority w:val="99"/>
    <w:pPr>
      <w:widowControl/>
      <w:adjustRightInd/>
      <w:spacing w:after="160" w:line="240" w:lineRule="exact"/>
      <w:ind w:firstLine="0" w:firstLineChars="0"/>
      <w:textAlignment w:val="auto"/>
    </w:pPr>
    <w:rPr>
      <w:kern w:val="2"/>
      <w:sz w:val="21"/>
    </w:rPr>
  </w:style>
  <w:style w:type="table" w:customStyle="1" w:styleId="330">
    <w:name w:val="Table Normal"/>
    <w:semiHidden/>
    <w:unhideWhenUsed/>
    <w:qFormat/>
    <w:uiPriority w:val="2"/>
    <w:pPr>
      <w:widowControl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31">
    <w:name w:val="Table Paragraph"/>
    <w:basedOn w:val="1"/>
    <w:qFormat/>
    <w:uiPriority w:val="1"/>
    <w:pPr>
      <w:adjustRightInd/>
      <w:spacing w:line="240" w:lineRule="auto"/>
      <w:ind w:firstLine="0" w:firstLineChars="0"/>
      <w:textAlignment w:val="auto"/>
    </w:pPr>
    <w:rPr>
      <w:rFonts w:ascii="Calibri" w:hAnsi="Calibri"/>
      <w:sz w:val="22"/>
      <w:szCs w:val="22"/>
      <w:lang w:eastAsia="en-US"/>
    </w:rPr>
  </w:style>
  <w:style w:type="paragraph" w:customStyle="1" w:styleId="332">
    <w:name w:val="列出段落11"/>
    <w:basedOn w:val="1"/>
    <w:uiPriority w:val="0"/>
    <w:pPr>
      <w:adjustRightInd/>
      <w:ind w:firstLine="420"/>
      <w:jc w:val="both"/>
      <w:textAlignment w:val="auto"/>
    </w:pPr>
    <w:rPr>
      <w:rFonts w:ascii="Calibri" w:hAnsi="Calibri" w:eastAsia="华文细黑"/>
      <w:kern w:val="2"/>
      <w:sz w:val="21"/>
      <w:szCs w:val="22"/>
    </w:rPr>
  </w:style>
  <w:style w:type="table" w:customStyle="1" w:styleId="333">
    <w:name w:val="网格型1"/>
    <w:basedOn w:val="47"/>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0" Type="http://schemas.openxmlformats.org/officeDocument/2006/relationships/fontTable" Target="fontTable.xml"/><Relationship Id="rId5" Type="http://schemas.openxmlformats.org/officeDocument/2006/relationships/header" Target="header3.xml"/><Relationship Id="rId49" Type="http://schemas.openxmlformats.org/officeDocument/2006/relationships/customXml" Target="../customXml/item13.xml"/><Relationship Id="rId48" Type="http://schemas.openxmlformats.org/officeDocument/2006/relationships/customXml" Target="../customXml/item12.xml"/><Relationship Id="rId47" Type="http://schemas.openxmlformats.org/officeDocument/2006/relationships/customXml" Target="../customXml/item11.xml"/><Relationship Id="rId46" Type="http://schemas.openxmlformats.org/officeDocument/2006/relationships/customXml" Target="../customXml/item10.xml"/><Relationship Id="rId45" Type="http://schemas.openxmlformats.org/officeDocument/2006/relationships/customXml" Target="../customXml/item9.xml"/><Relationship Id="rId44" Type="http://schemas.openxmlformats.org/officeDocument/2006/relationships/customXml" Target="../customXml/item8.xml"/><Relationship Id="rId43" Type="http://schemas.openxmlformats.org/officeDocument/2006/relationships/customXml" Target="../customXml/item7.xml"/><Relationship Id="rId42" Type="http://schemas.openxmlformats.org/officeDocument/2006/relationships/customXml" Target="../customXml/item6.xml"/><Relationship Id="rId41" Type="http://schemas.openxmlformats.org/officeDocument/2006/relationships/customXml" Target="../customXml/item5.xml"/><Relationship Id="rId40" Type="http://schemas.openxmlformats.org/officeDocument/2006/relationships/customXml" Target="../customXml/item4.xml"/><Relationship Id="rId4" Type="http://schemas.openxmlformats.org/officeDocument/2006/relationships/header" Target="header2.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21.xml"/><Relationship Id="rId33" Type="http://schemas.openxmlformats.org/officeDocument/2006/relationships/footer" Target="footer20.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header" Target="header10.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730B252-D694-4C93-B3F5-0771AD34A107}">
  <ds:schemaRefs/>
</ds:datastoreItem>
</file>

<file path=customXml/itemProps11.xml><?xml version="1.0" encoding="utf-8"?>
<ds:datastoreItem xmlns:ds="http://schemas.openxmlformats.org/officeDocument/2006/customXml" ds:itemID="{4D83BB14-16FB-4A15-B84A-3CE82F75E7C8}">
  <ds:schemaRefs/>
</ds:datastoreItem>
</file>

<file path=customXml/itemProps12.xml><?xml version="1.0" encoding="utf-8"?>
<ds:datastoreItem xmlns:ds="http://schemas.openxmlformats.org/officeDocument/2006/customXml" ds:itemID="{E407D05A-CBB4-4C13-9BE2-FB443F19ACC2}">
  <ds:schemaRefs/>
</ds:datastoreItem>
</file>

<file path=customXml/itemProps13.xml><?xml version="1.0" encoding="utf-8"?>
<ds:datastoreItem xmlns:ds="http://schemas.openxmlformats.org/officeDocument/2006/customXml" ds:itemID="{DE081CBA-CBDE-4B16-90BB-438B5BDC63D3}">
  <ds:schemaRefs/>
</ds:datastoreItem>
</file>

<file path=customXml/itemProps2.xml><?xml version="1.0" encoding="utf-8"?>
<ds:datastoreItem xmlns:ds="http://schemas.openxmlformats.org/officeDocument/2006/customXml" ds:itemID="{351C9390-ABDD-4BBB-AA3E-62A6804F578E}">
  <ds:schemaRefs/>
</ds:datastoreItem>
</file>

<file path=customXml/itemProps3.xml><?xml version="1.0" encoding="utf-8"?>
<ds:datastoreItem xmlns:ds="http://schemas.openxmlformats.org/officeDocument/2006/customXml" ds:itemID="{AE84A797-7C0A-4A54-BA2B-85CB3E07864D}">
  <ds:schemaRefs/>
</ds:datastoreItem>
</file>

<file path=customXml/itemProps4.xml><?xml version="1.0" encoding="utf-8"?>
<ds:datastoreItem xmlns:ds="http://schemas.openxmlformats.org/officeDocument/2006/customXml" ds:itemID="{C4E92B41-4BDB-4A13-A761-39FA7229EEA3}">
  <ds:schemaRefs/>
</ds:datastoreItem>
</file>

<file path=customXml/itemProps5.xml><?xml version="1.0" encoding="utf-8"?>
<ds:datastoreItem xmlns:ds="http://schemas.openxmlformats.org/officeDocument/2006/customXml" ds:itemID="{91F28AA9-AFDA-43E0-9C12-F7639BF3155C}">
  <ds:schemaRefs/>
</ds:datastoreItem>
</file>

<file path=customXml/itemProps6.xml><?xml version="1.0" encoding="utf-8"?>
<ds:datastoreItem xmlns:ds="http://schemas.openxmlformats.org/officeDocument/2006/customXml" ds:itemID="{901C7636-1DA8-4742-9EC5-2C977DC32BBA}">
  <ds:schemaRefs/>
</ds:datastoreItem>
</file>

<file path=customXml/itemProps7.xml><?xml version="1.0" encoding="utf-8"?>
<ds:datastoreItem xmlns:ds="http://schemas.openxmlformats.org/officeDocument/2006/customXml" ds:itemID="{E812975B-F896-4E94-B7A4-AE8987973925}">
  <ds:schemaRefs/>
</ds:datastoreItem>
</file>

<file path=customXml/itemProps8.xml><?xml version="1.0" encoding="utf-8"?>
<ds:datastoreItem xmlns:ds="http://schemas.openxmlformats.org/officeDocument/2006/customXml" ds:itemID="{6106D293-5B21-4BFE-8A45-A167AE355866}">
  <ds:schemaRefs/>
</ds:datastoreItem>
</file>

<file path=customXml/itemProps9.xml><?xml version="1.0" encoding="utf-8"?>
<ds:datastoreItem xmlns:ds="http://schemas.openxmlformats.org/officeDocument/2006/customXml" ds:itemID="{2E2073BA-DC11-41D3-9307-018063C2ECE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14421</Words>
  <Characters>82206</Characters>
  <Lines>685</Lines>
  <Paragraphs>192</Paragraphs>
  <TotalTime>3</TotalTime>
  <ScaleCrop>false</ScaleCrop>
  <LinksUpToDate>false</LinksUpToDate>
  <CharactersWithSpaces>96435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2019-10-10T09:15:00Z</dcterms:created>
  <dc:creator>张智恒</dc:creator>
  <cp:lastModifiedBy>刘丹</cp:lastModifiedBy>
  <cp:lastPrinted>2019-10-12T08:07:00Z</cp:lastPrinted>
  <dcterms:modified xsi:type="dcterms:W3CDTF">2019-10-15T02:17:35Z</dcterms:modified>
  <dc:title>竞争性磋商文件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