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61" w:rsidRPr="00813261" w:rsidRDefault="00813261" w:rsidP="00813261">
      <w:pPr>
        <w:spacing w:line="400" w:lineRule="exact"/>
        <w:jc w:val="center"/>
        <w:rPr>
          <w:rFonts w:ascii="方正小标宋简体" w:eastAsia="方正小标宋简体" w:hint="eastAsia"/>
          <w:sz w:val="28"/>
          <w:szCs w:val="28"/>
        </w:rPr>
      </w:pPr>
      <w:r w:rsidRPr="00813261">
        <w:rPr>
          <w:rFonts w:ascii="方正小标宋简体" w:eastAsia="方正小标宋简体" w:hint="eastAsia"/>
          <w:sz w:val="28"/>
          <w:szCs w:val="28"/>
        </w:rPr>
        <w:t>第二届中国研究生公共管理案例大赛报名常见问题解答</w:t>
      </w:r>
    </w:p>
    <w:p w:rsidR="00813261" w:rsidRDefault="00813261" w:rsidP="00813261">
      <w:pPr>
        <w:spacing w:line="400" w:lineRule="exact"/>
      </w:pPr>
    </w:p>
    <w:p w:rsidR="00813261" w:rsidRDefault="00813261" w:rsidP="00813261">
      <w:pPr>
        <w:spacing w:line="400" w:lineRule="exact"/>
        <w:ind w:firstLineChars="200" w:firstLine="640"/>
        <w:rPr>
          <w:rFonts w:ascii="仿宋" w:eastAsia="仿宋" w:hAnsi="仿宋" w:hint="eastAsia"/>
          <w:sz w:val="32"/>
          <w:szCs w:val="32"/>
        </w:rPr>
      </w:pPr>
      <w:r w:rsidRPr="00813261">
        <w:rPr>
          <w:rFonts w:ascii="仿宋" w:eastAsia="仿宋" w:hAnsi="仿宋" w:hint="eastAsia"/>
          <w:sz w:val="32"/>
          <w:szCs w:val="32"/>
        </w:rPr>
        <w:t>近期我委发布了《关于举办“案例中心杯”第二届“中国研究生公共管理案例大赛”的通知》，为了</w:t>
      </w:r>
      <w:proofErr w:type="gramStart"/>
      <w:r w:rsidRPr="00813261">
        <w:rPr>
          <w:rFonts w:ascii="仿宋" w:eastAsia="仿宋" w:hAnsi="仿宋" w:hint="eastAsia"/>
          <w:sz w:val="32"/>
          <w:szCs w:val="32"/>
        </w:rPr>
        <w:t>让相关</w:t>
      </w:r>
      <w:proofErr w:type="gramEnd"/>
      <w:r w:rsidRPr="00813261">
        <w:rPr>
          <w:rFonts w:ascii="仿宋" w:eastAsia="仿宋" w:hAnsi="仿宋" w:hint="eastAsia"/>
          <w:sz w:val="32"/>
          <w:szCs w:val="32"/>
        </w:rPr>
        <w:t>师生更加明确报名过程中的具体细节和要求，我处针对一些常见问题进行统一解答如下。</w:t>
      </w:r>
    </w:p>
    <w:p w:rsidR="00167D8D" w:rsidRPr="00813261" w:rsidRDefault="00167D8D" w:rsidP="00813261">
      <w:pPr>
        <w:spacing w:line="400" w:lineRule="exact"/>
        <w:ind w:firstLineChars="200" w:firstLine="640"/>
        <w:rPr>
          <w:rFonts w:ascii="仿宋" w:eastAsia="仿宋" w:hAnsi="仿宋" w:hint="eastAsia"/>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1.问：非MPA专业的学生可以报名参赛吗？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答：可以。本届案例大赛的参赛对象以MPA在读研究生为主，公共管理相关学科在读研究生和MPA毕业生也可参与组队。但每支队伍中，公共管理相关学科在读研究生和MPA毕业生最多不能超过1名。</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2.问：已经毕业的学生可以报名参赛吗？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答：可以。本届案例大赛的参赛对象以MPA在读研究生为主，公共管理相关学科在读研究生和MPA毕业生也可参与组队。但每支队伍中，公共管理相关学科在读研究生和MPA毕业生最多不能超过1名。</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3.问：本科生可以报名参赛吗？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答：不可以。本届赛事为第二届中国研究生公共管理案例大赛，参赛对象应为符合报名条件的研究生。</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4.问：延期毕业的MPA学生可以报名参赛吗？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答：可以。本届案例大赛的参赛对象以MPA在读研究生为主，延期毕业的学生依然属于在读研究生范畴。</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5.问：参加过首届案例大赛的学生还可以参赛吗？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答：可以。符合本届案例大赛参赛对象条件的学生都可以报名参赛。</w:t>
      </w:r>
    </w:p>
    <w:p w:rsidR="00813261" w:rsidRDefault="00813261" w:rsidP="00813261">
      <w:pPr>
        <w:spacing w:line="400" w:lineRule="exact"/>
        <w:rPr>
          <w:rFonts w:ascii="仿宋" w:eastAsia="仿宋" w:hAnsi="仿宋" w:hint="eastAsia"/>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6.问：首届案例大赛参赛案例可以在第二届案例大赛中继续使用吗？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答：部分可以。由于案例大赛案例文本评审为匿名评审，所</w:t>
      </w:r>
      <w:r w:rsidRPr="00813261">
        <w:rPr>
          <w:rFonts w:ascii="仿宋" w:eastAsia="仿宋" w:hAnsi="仿宋" w:hint="eastAsia"/>
          <w:sz w:val="32"/>
          <w:szCs w:val="32"/>
        </w:rPr>
        <w:lastRenderedPageBreak/>
        <w:t>以在首届案例大赛中未公布过作者信息的案例（即未获奖案例）可以修改后继续在本届案例大赛中使用。</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7.问：已经公开发表或在其他相关赛事上获奖的案例可以参赛吗？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答：不可以。本届案例大赛提交案例要求为未公开过的原创案例。</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8.问：已经入选中国研究生专业学位教学案例中心公共管理案例库的案例是否可以参赛？</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答：不可以。入选案例库案例等同于已获奖案例。本届案例大赛提交案例要求为未公开过的原创案例。</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9. 问：不同院校之间的学生可以混合组队吗？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答：不可以。报名参赛的队伍需来源于同一所院校，组队后还需所属学院审核，审核通过后视为报名成功。</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10.问：同一名学生可以参与两支队伍吗？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答：不可以。一名学生只能报名参与一支队伍的组建。</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11.问：队伍可以没有指导老师吗？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答：可以。参赛队伍可以只由参赛队员组成，也可安排指导教师。每支参赛队伍指导教师限1-2人。</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12.问：一位指导教师可以指导多支队伍吗？</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答：可以。但每名指导教师最多</w:t>
      </w:r>
      <w:proofErr w:type="gramStart"/>
      <w:r w:rsidRPr="00813261">
        <w:rPr>
          <w:rFonts w:ascii="仿宋" w:eastAsia="仿宋" w:hAnsi="仿宋" w:hint="eastAsia"/>
          <w:sz w:val="32"/>
          <w:szCs w:val="32"/>
        </w:rPr>
        <w:t>限指导</w:t>
      </w:r>
      <w:proofErr w:type="gramEnd"/>
      <w:r w:rsidRPr="00813261">
        <w:rPr>
          <w:rFonts w:ascii="仿宋" w:eastAsia="仿宋" w:hAnsi="仿宋" w:hint="eastAsia"/>
          <w:sz w:val="32"/>
          <w:szCs w:val="32"/>
        </w:rPr>
        <w:t>2支团队参加比赛。</w:t>
      </w:r>
    </w:p>
    <w:p w:rsidR="00813261" w:rsidRDefault="00813261" w:rsidP="00813261">
      <w:pPr>
        <w:spacing w:line="400" w:lineRule="exact"/>
        <w:rPr>
          <w:rFonts w:ascii="仿宋" w:eastAsia="仿宋" w:hAnsi="仿宋" w:hint="eastAsia"/>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13.问：报名的具体流程是什么？</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答：案例大赛初赛阶段报名皆在网上完成，具体报名流程请关注</w:t>
      </w:r>
      <w:proofErr w:type="gramStart"/>
      <w:r w:rsidRPr="00813261">
        <w:rPr>
          <w:rFonts w:ascii="仿宋" w:eastAsia="仿宋" w:hAnsi="仿宋" w:hint="eastAsia"/>
          <w:sz w:val="32"/>
          <w:szCs w:val="32"/>
        </w:rPr>
        <w:t>教指委官网</w:t>
      </w:r>
      <w:proofErr w:type="gramEnd"/>
      <w:r w:rsidRPr="00813261">
        <w:rPr>
          <w:rFonts w:ascii="仿宋" w:eastAsia="仿宋" w:hAnsi="仿宋" w:hint="eastAsia"/>
          <w:sz w:val="32"/>
          <w:szCs w:val="32"/>
        </w:rPr>
        <w:t>发布的案例大赛报名通知，通知将会在报名正式启动前一星期内发布。</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14.问：是否有第二届案例大赛的网上交流平台？</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答：我们为案例大赛参赛人员建立了全国MPA研究生交流群</w:t>
      </w:r>
      <w:r w:rsidRPr="00813261">
        <w:rPr>
          <w:rFonts w:ascii="仿宋" w:eastAsia="仿宋" w:hAnsi="仿宋" w:hint="eastAsia"/>
          <w:sz w:val="32"/>
          <w:szCs w:val="32"/>
        </w:rPr>
        <w:lastRenderedPageBreak/>
        <w:t>（QQ），</w:t>
      </w:r>
      <w:proofErr w:type="gramStart"/>
      <w:r w:rsidRPr="00813261">
        <w:rPr>
          <w:rFonts w:ascii="仿宋" w:eastAsia="仿宋" w:hAnsi="仿宋" w:hint="eastAsia"/>
          <w:sz w:val="32"/>
          <w:szCs w:val="32"/>
        </w:rPr>
        <w:t>群号为</w:t>
      </w:r>
      <w:proofErr w:type="gramEnd"/>
      <w:r w:rsidRPr="00813261">
        <w:rPr>
          <w:rFonts w:ascii="仿宋" w:eastAsia="仿宋" w:hAnsi="仿宋" w:hint="eastAsia"/>
          <w:sz w:val="32"/>
          <w:szCs w:val="32"/>
        </w:rPr>
        <w:t>249492022。案例大赛的相关通知会陆续在群内发布，请参赛人员积极入群。</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15.问：如何查看首届案例大赛的获奖案例？</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答：请点击下方附件查看首届案例大赛授权公开案例。附件中所有案例皆来自“案例中心杯”首届“中国研究生公共管理案例大赛”的获奖队伍，知识产权</w:t>
      </w:r>
      <w:proofErr w:type="gramStart"/>
      <w:r w:rsidRPr="00813261">
        <w:rPr>
          <w:rFonts w:ascii="仿宋" w:eastAsia="仿宋" w:hAnsi="仿宋" w:hint="eastAsia"/>
          <w:sz w:val="32"/>
          <w:szCs w:val="32"/>
        </w:rPr>
        <w:t>归各个</w:t>
      </w:r>
      <w:proofErr w:type="gramEnd"/>
      <w:r w:rsidRPr="00813261">
        <w:rPr>
          <w:rFonts w:ascii="仿宋" w:eastAsia="仿宋" w:hAnsi="仿宋" w:hint="eastAsia"/>
          <w:sz w:val="32"/>
          <w:szCs w:val="32"/>
        </w:rPr>
        <w:t>队伍所有。案例及分析报告仅供参考学习，请勿擅自传播、使用。</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16.问：首届案例大赛是否有比赛录像？如何查看？</w:t>
      </w:r>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答：我们对首届案例大赛决赛进行了全程录像，具体请点击以下网址：</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hint="eastAsia"/>
          <w:sz w:val="32"/>
          <w:szCs w:val="32"/>
        </w:rPr>
      </w:pPr>
      <w:r>
        <w:rPr>
          <w:rFonts w:ascii="仿宋" w:eastAsia="仿宋" w:hAnsi="仿宋" w:hint="eastAsia"/>
          <w:sz w:val="32"/>
          <w:szCs w:val="32"/>
        </w:rPr>
        <w:t>（1）</w:t>
      </w:r>
      <w:r w:rsidRPr="00813261">
        <w:rPr>
          <w:rFonts w:ascii="仿宋" w:eastAsia="仿宋" w:hAnsi="仿宋" w:hint="eastAsia"/>
          <w:sz w:val="32"/>
          <w:szCs w:val="32"/>
        </w:rPr>
        <w:t>决赛第一轮（小组赛）视频网址链接</w:t>
      </w:r>
    </w:p>
    <w:p w:rsidR="00813261" w:rsidRPr="00813261" w:rsidRDefault="00813261" w:rsidP="00813261">
      <w:pPr>
        <w:spacing w:line="400" w:lineRule="exact"/>
        <w:ind w:firstLineChars="200" w:firstLine="520"/>
        <w:rPr>
          <w:rFonts w:ascii="仿宋" w:eastAsia="仿宋" w:hAnsi="仿宋" w:hint="eastAsia"/>
          <w:spacing w:val="-30"/>
          <w:sz w:val="32"/>
          <w:szCs w:val="32"/>
        </w:rPr>
      </w:pPr>
      <w:r w:rsidRPr="00813261">
        <w:rPr>
          <w:rFonts w:ascii="仿宋" w:eastAsia="仿宋" w:hAnsi="仿宋" w:hint="eastAsia"/>
          <w:spacing w:val="-30"/>
          <w:sz w:val="32"/>
          <w:szCs w:val="32"/>
        </w:rPr>
        <w:t>分会场1</w:t>
      </w:r>
      <w:r w:rsidRPr="00813261">
        <w:rPr>
          <w:rFonts w:ascii="仿宋" w:eastAsia="仿宋" w:hAnsi="仿宋" w:hint="eastAsia"/>
          <w:spacing w:val="-30"/>
          <w:sz w:val="32"/>
          <w:szCs w:val="32"/>
        </w:rPr>
        <w:t>全程实录：</w:t>
      </w:r>
      <w:hyperlink r:id="rId8" w:history="1">
        <w:r w:rsidRPr="00813261">
          <w:rPr>
            <w:rStyle w:val="a6"/>
            <w:rFonts w:ascii="仿宋" w:eastAsia="仿宋" w:hAnsi="仿宋" w:hint="eastAsia"/>
            <w:spacing w:val="-30"/>
            <w:sz w:val="32"/>
            <w:szCs w:val="32"/>
          </w:rPr>
          <w:t>https://v.qq.com/x/page/g0543jltdc9.html</w:t>
        </w:r>
      </w:hyperlink>
    </w:p>
    <w:p w:rsidR="00813261" w:rsidRPr="00813261" w:rsidRDefault="00813261" w:rsidP="00813261">
      <w:pPr>
        <w:pStyle w:val="a5"/>
        <w:spacing w:line="400" w:lineRule="exact"/>
        <w:ind w:left="1080" w:firstLineChars="0" w:firstLine="0"/>
        <w:rPr>
          <w:rFonts w:ascii="仿宋" w:eastAsia="仿宋" w:hAnsi="仿宋" w:hint="eastAsia"/>
          <w:szCs w:val="21"/>
        </w:rPr>
      </w:pPr>
    </w:p>
    <w:p w:rsidR="00813261" w:rsidRPr="00813261" w:rsidRDefault="00813261" w:rsidP="00813261">
      <w:pPr>
        <w:spacing w:line="400" w:lineRule="exact"/>
        <w:ind w:firstLineChars="200" w:firstLine="504"/>
        <w:rPr>
          <w:rFonts w:ascii="仿宋" w:eastAsia="仿宋" w:hAnsi="仿宋" w:hint="eastAsia"/>
          <w:spacing w:val="-34"/>
          <w:sz w:val="32"/>
          <w:szCs w:val="32"/>
        </w:rPr>
      </w:pPr>
      <w:r w:rsidRPr="00813261">
        <w:rPr>
          <w:rFonts w:ascii="仿宋" w:eastAsia="仿宋" w:hAnsi="仿宋" w:hint="eastAsia"/>
          <w:spacing w:val="-34"/>
          <w:sz w:val="32"/>
          <w:szCs w:val="32"/>
        </w:rPr>
        <w:t>分会场2全程实录：</w:t>
      </w:r>
      <w:hyperlink r:id="rId9" w:history="1">
        <w:r w:rsidRPr="00813261">
          <w:rPr>
            <w:rStyle w:val="a6"/>
            <w:rFonts w:ascii="仿宋" w:eastAsia="仿宋" w:hAnsi="仿宋" w:hint="eastAsia"/>
            <w:spacing w:val="-34"/>
            <w:sz w:val="32"/>
            <w:szCs w:val="32"/>
          </w:rPr>
          <w:t>https://v.qq.com/x/page/e0544vpl1un.html</w:t>
        </w:r>
      </w:hyperlink>
    </w:p>
    <w:p w:rsidR="00813261" w:rsidRPr="00813261"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（2）决赛第二轮（决赛）视频网址链接</w:t>
      </w:r>
    </w:p>
    <w:p w:rsidR="00813261" w:rsidRDefault="00813261" w:rsidP="00813261">
      <w:pPr>
        <w:spacing w:line="400" w:lineRule="exact"/>
        <w:ind w:firstLineChars="200" w:firstLine="640"/>
        <w:rPr>
          <w:rFonts w:ascii="仿宋" w:eastAsia="仿宋" w:hAnsi="仿宋" w:hint="eastAsia"/>
          <w:sz w:val="32"/>
          <w:szCs w:val="32"/>
        </w:rPr>
      </w:pPr>
      <w:hyperlink r:id="rId10" w:history="1">
        <w:r w:rsidRPr="002F4DED">
          <w:rPr>
            <w:rStyle w:val="a6"/>
            <w:rFonts w:ascii="仿宋" w:eastAsia="仿宋" w:hAnsi="仿宋"/>
            <w:sz w:val="32"/>
            <w:szCs w:val="32"/>
          </w:rPr>
          <w:t>https://v.qq.com/x/page/f0543hrjr27.html</w:t>
        </w:r>
      </w:hyperlink>
    </w:p>
    <w:p w:rsidR="00813261" w:rsidRPr="00813261" w:rsidRDefault="00813261" w:rsidP="00813261">
      <w:pPr>
        <w:spacing w:line="400" w:lineRule="exact"/>
        <w:ind w:firstLineChars="250" w:firstLine="800"/>
        <w:rPr>
          <w:rFonts w:ascii="仿宋" w:eastAsia="仿宋" w:hAnsi="仿宋"/>
          <w:sz w:val="32"/>
          <w:szCs w:val="32"/>
        </w:rPr>
      </w:pPr>
    </w:p>
    <w:p w:rsidR="00813261" w:rsidRPr="00813261" w:rsidRDefault="00813261" w:rsidP="00813261">
      <w:pPr>
        <w:spacing w:line="400" w:lineRule="exact"/>
        <w:ind w:left="3680" w:hangingChars="1150" w:hanging="3680"/>
        <w:jc w:val="right"/>
        <w:rPr>
          <w:rFonts w:ascii="仿宋" w:eastAsia="仿宋" w:hAnsi="仿宋" w:hint="eastAsia"/>
          <w:sz w:val="32"/>
          <w:szCs w:val="32"/>
        </w:rPr>
      </w:pPr>
      <w:r w:rsidRPr="00813261">
        <w:rPr>
          <w:rFonts w:ascii="仿宋" w:eastAsia="仿宋" w:hAnsi="仿宋" w:hint="eastAsia"/>
          <w:sz w:val="32"/>
          <w:szCs w:val="32"/>
        </w:rPr>
        <w:t xml:space="preserve">                                                                                           全国MPA</w:t>
      </w:r>
      <w:proofErr w:type="gramStart"/>
      <w:r w:rsidRPr="00813261">
        <w:rPr>
          <w:rFonts w:ascii="仿宋" w:eastAsia="仿宋" w:hAnsi="仿宋" w:hint="eastAsia"/>
          <w:sz w:val="32"/>
          <w:szCs w:val="32"/>
        </w:rPr>
        <w:t>教指委</w:t>
      </w:r>
      <w:proofErr w:type="gramEnd"/>
      <w:r w:rsidRPr="00813261">
        <w:rPr>
          <w:rFonts w:ascii="仿宋" w:eastAsia="仿宋" w:hAnsi="仿宋" w:hint="eastAsia"/>
          <w:sz w:val="32"/>
          <w:szCs w:val="32"/>
        </w:rPr>
        <w:t>秘书处</w:t>
      </w:r>
    </w:p>
    <w:p w:rsidR="00813261" w:rsidRPr="00813261" w:rsidRDefault="00813261" w:rsidP="00813261">
      <w:pPr>
        <w:spacing w:line="400" w:lineRule="exact"/>
        <w:ind w:left="800" w:hangingChars="250" w:hanging="800"/>
        <w:jc w:val="right"/>
        <w:rPr>
          <w:rFonts w:ascii="仿宋" w:eastAsia="仿宋" w:hAnsi="仿宋" w:hint="eastAsia"/>
          <w:sz w:val="32"/>
          <w:szCs w:val="32"/>
        </w:rPr>
      </w:pPr>
      <w:r w:rsidRPr="00813261">
        <w:rPr>
          <w:rFonts w:ascii="仿宋" w:eastAsia="仿宋" w:hAnsi="仿宋" w:hint="eastAsia"/>
          <w:sz w:val="32"/>
          <w:szCs w:val="32"/>
        </w:rPr>
        <w:t xml:space="preserve">                                                                                              2017年10月25日</w:t>
      </w:r>
    </w:p>
    <w:p w:rsidR="00813261" w:rsidRPr="00813261" w:rsidRDefault="00813261" w:rsidP="00813261">
      <w:pPr>
        <w:spacing w:line="400" w:lineRule="exact"/>
        <w:rPr>
          <w:rFonts w:ascii="仿宋" w:eastAsia="仿宋" w:hAnsi="仿宋"/>
          <w:sz w:val="32"/>
          <w:szCs w:val="32"/>
        </w:rPr>
      </w:pPr>
    </w:p>
    <w:p w:rsidR="00813261" w:rsidRPr="00813261" w:rsidRDefault="00813261" w:rsidP="00813261">
      <w:pPr>
        <w:spacing w:line="400" w:lineRule="exact"/>
        <w:rPr>
          <w:rFonts w:ascii="仿宋" w:eastAsia="仿宋" w:hAnsi="仿宋"/>
          <w:sz w:val="32"/>
          <w:szCs w:val="32"/>
        </w:rPr>
      </w:pPr>
    </w:p>
    <w:p w:rsidR="00167D8D" w:rsidRDefault="00813261" w:rsidP="00813261">
      <w:pPr>
        <w:spacing w:line="400" w:lineRule="exact"/>
        <w:rPr>
          <w:rFonts w:ascii="仿宋" w:eastAsia="仿宋" w:hAnsi="仿宋" w:hint="eastAsia"/>
          <w:sz w:val="32"/>
          <w:szCs w:val="32"/>
        </w:rPr>
      </w:pPr>
      <w:r w:rsidRPr="00813261">
        <w:rPr>
          <w:rFonts w:ascii="仿宋" w:eastAsia="仿宋" w:hAnsi="仿宋" w:hint="eastAsia"/>
          <w:sz w:val="32"/>
          <w:szCs w:val="32"/>
        </w:rPr>
        <w:t>附件：首届公共管理案例大赛获奖案例（部分）</w:t>
      </w:r>
    </w:p>
    <w:p w:rsidR="00813261" w:rsidRPr="00167D8D" w:rsidRDefault="00813261" w:rsidP="00167D8D">
      <w:pPr>
        <w:spacing w:line="400" w:lineRule="exact"/>
        <w:ind w:firstLineChars="250" w:firstLine="700"/>
        <w:rPr>
          <w:rFonts w:ascii="仿宋" w:eastAsia="仿宋" w:hAnsi="仿宋" w:hint="eastAsia"/>
          <w:spacing w:val="-20"/>
          <w:sz w:val="32"/>
          <w:szCs w:val="32"/>
        </w:rPr>
      </w:pPr>
      <w:r w:rsidRPr="00167D8D">
        <w:rPr>
          <w:rFonts w:ascii="仿宋" w:eastAsia="仿宋" w:hAnsi="仿宋" w:hint="eastAsia"/>
          <w:spacing w:val="-20"/>
          <w:sz w:val="32"/>
          <w:szCs w:val="32"/>
        </w:rPr>
        <w:t>（</w:t>
      </w:r>
      <w:r w:rsidR="00167D8D" w:rsidRPr="00167D8D">
        <w:rPr>
          <w:rFonts w:ascii="仿宋" w:eastAsia="仿宋" w:hAnsi="仿宋" w:hint="eastAsia"/>
          <w:spacing w:val="-20"/>
          <w:sz w:val="32"/>
          <w:szCs w:val="32"/>
        </w:rPr>
        <w:t>请到</w:t>
      </w:r>
      <w:hyperlink r:id="rId11" w:history="1">
        <w:r w:rsidR="00167D8D" w:rsidRPr="00167D8D">
          <w:rPr>
            <w:rStyle w:val="a6"/>
            <w:rFonts w:ascii="仿宋" w:eastAsia="仿宋" w:hAnsi="仿宋"/>
            <w:spacing w:val="-20"/>
            <w:sz w:val="32"/>
            <w:szCs w:val="32"/>
          </w:rPr>
          <w:t>http://www.mpa.org.cn/content/15014</w:t>
        </w:r>
      </w:hyperlink>
      <w:r w:rsidR="00167D8D" w:rsidRPr="00167D8D">
        <w:rPr>
          <w:rFonts w:ascii="仿宋" w:eastAsia="仿宋" w:hAnsi="仿宋" w:hint="eastAsia"/>
          <w:spacing w:val="-20"/>
          <w:sz w:val="32"/>
          <w:szCs w:val="32"/>
        </w:rPr>
        <w:t>下载</w:t>
      </w:r>
      <w:r w:rsidRPr="00167D8D">
        <w:rPr>
          <w:rFonts w:ascii="仿宋" w:eastAsia="仿宋" w:hAnsi="仿宋" w:hint="eastAsia"/>
          <w:spacing w:val="-20"/>
          <w:sz w:val="32"/>
          <w:szCs w:val="32"/>
        </w:rPr>
        <w:t>）</w:t>
      </w:r>
    </w:p>
    <w:p w:rsidR="001469F1" w:rsidRPr="00813261" w:rsidRDefault="001469F1" w:rsidP="00813261">
      <w:pPr>
        <w:spacing w:line="400" w:lineRule="exact"/>
        <w:rPr>
          <w:rFonts w:ascii="仿宋" w:eastAsia="仿宋" w:hAnsi="仿宋"/>
          <w:sz w:val="32"/>
          <w:szCs w:val="32"/>
        </w:rPr>
      </w:pPr>
      <w:bookmarkStart w:id="0" w:name="_GoBack"/>
      <w:bookmarkEnd w:id="0"/>
    </w:p>
    <w:sectPr w:rsidR="001469F1" w:rsidRPr="00813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E43" w:rsidRDefault="00AA0E43" w:rsidP="00813261">
      <w:r>
        <w:separator/>
      </w:r>
    </w:p>
  </w:endnote>
  <w:endnote w:type="continuationSeparator" w:id="0">
    <w:p w:rsidR="00AA0E43" w:rsidRDefault="00AA0E43" w:rsidP="0081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E43" w:rsidRDefault="00AA0E43" w:rsidP="00813261">
      <w:r>
        <w:separator/>
      </w:r>
    </w:p>
  </w:footnote>
  <w:footnote w:type="continuationSeparator" w:id="0">
    <w:p w:rsidR="00AA0E43" w:rsidRDefault="00AA0E43" w:rsidP="00813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77E03"/>
    <w:multiLevelType w:val="hybridMultilevel"/>
    <w:tmpl w:val="66E869E8"/>
    <w:lvl w:ilvl="0" w:tplc="8C54FA5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CC"/>
    <w:rsid w:val="001469F1"/>
    <w:rsid w:val="00167D8D"/>
    <w:rsid w:val="00813261"/>
    <w:rsid w:val="00904ECC"/>
    <w:rsid w:val="00AA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3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3261"/>
    <w:rPr>
      <w:sz w:val="18"/>
      <w:szCs w:val="18"/>
    </w:rPr>
  </w:style>
  <w:style w:type="paragraph" w:styleId="a4">
    <w:name w:val="footer"/>
    <w:basedOn w:val="a"/>
    <w:link w:val="Char0"/>
    <w:uiPriority w:val="99"/>
    <w:unhideWhenUsed/>
    <w:rsid w:val="00813261"/>
    <w:pPr>
      <w:tabs>
        <w:tab w:val="center" w:pos="4153"/>
        <w:tab w:val="right" w:pos="8306"/>
      </w:tabs>
      <w:snapToGrid w:val="0"/>
      <w:jc w:val="left"/>
    </w:pPr>
    <w:rPr>
      <w:sz w:val="18"/>
      <w:szCs w:val="18"/>
    </w:rPr>
  </w:style>
  <w:style w:type="character" w:customStyle="1" w:styleId="Char0">
    <w:name w:val="页脚 Char"/>
    <w:basedOn w:val="a0"/>
    <w:link w:val="a4"/>
    <w:uiPriority w:val="99"/>
    <w:rsid w:val="00813261"/>
    <w:rPr>
      <w:sz w:val="18"/>
      <w:szCs w:val="18"/>
    </w:rPr>
  </w:style>
  <w:style w:type="paragraph" w:styleId="a5">
    <w:name w:val="List Paragraph"/>
    <w:basedOn w:val="a"/>
    <w:uiPriority w:val="34"/>
    <w:qFormat/>
    <w:rsid w:val="00813261"/>
    <w:pPr>
      <w:ind w:firstLineChars="200" w:firstLine="420"/>
    </w:pPr>
  </w:style>
  <w:style w:type="character" w:styleId="a6">
    <w:name w:val="Hyperlink"/>
    <w:basedOn w:val="a0"/>
    <w:uiPriority w:val="99"/>
    <w:unhideWhenUsed/>
    <w:rsid w:val="008132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3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3261"/>
    <w:rPr>
      <w:sz w:val="18"/>
      <w:szCs w:val="18"/>
    </w:rPr>
  </w:style>
  <w:style w:type="paragraph" w:styleId="a4">
    <w:name w:val="footer"/>
    <w:basedOn w:val="a"/>
    <w:link w:val="Char0"/>
    <w:uiPriority w:val="99"/>
    <w:unhideWhenUsed/>
    <w:rsid w:val="00813261"/>
    <w:pPr>
      <w:tabs>
        <w:tab w:val="center" w:pos="4153"/>
        <w:tab w:val="right" w:pos="8306"/>
      </w:tabs>
      <w:snapToGrid w:val="0"/>
      <w:jc w:val="left"/>
    </w:pPr>
    <w:rPr>
      <w:sz w:val="18"/>
      <w:szCs w:val="18"/>
    </w:rPr>
  </w:style>
  <w:style w:type="character" w:customStyle="1" w:styleId="Char0">
    <w:name w:val="页脚 Char"/>
    <w:basedOn w:val="a0"/>
    <w:link w:val="a4"/>
    <w:uiPriority w:val="99"/>
    <w:rsid w:val="00813261"/>
    <w:rPr>
      <w:sz w:val="18"/>
      <w:szCs w:val="18"/>
    </w:rPr>
  </w:style>
  <w:style w:type="paragraph" w:styleId="a5">
    <w:name w:val="List Paragraph"/>
    <w:basedOn w:val="a"/>
    <w:uiPriority w:val="34"/>
    <w:qFormat/>
    <w:rsid w:val="00813261"/>
    <w:pPr>
      <w:ind w:firstLineChars="200" w:firstLine="420"/>
    </w:pPr>
  </w:style>
  <w:style w:type="character" w:styleId="a6">
    <w:name w:val="Hyperlink"/>
    <w:basedOn w:val="a0"/>
    <w:uiPriority w:val="99"/>
    <w:unhideWhenUsed/>
    <w:rsid w:val="008132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qq.com/x/page/g0543jltdc9.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pa.org.cn/content/15014" TargetMode="External"/><Relationship Id="rId5" Type="http://schemas.openxmlformats.org/officeDocument/2006/relationships/webSettings" Target="webSettings.xml"/><Relationship Id="rId10" Type="http://schemas.openxmlformats.org/officeDocument/2006/relationships/hyperlink" Target="https://v.qq.com/x/page/f0543hrjr27.html" TargetMode="External"/><Relationship Id="rId4" Type="http://schemas.openxmlformats.org/officeDocument/2006/relationships/settings" Target="settings.xml"/><Relationship Id="rId9" Type="http://schemas.openxmlformats.org/officeDocument/2006/relationships/hyperlink" Target="https://v.qq.com/x/page/e0544vpl1un.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赵莹</dc:creator>
  <cp:keywords/>
  <dc:description/>
  <cp:lastModifiedBy>赵莹</cp:lastModifiedBy>
  <cp:revision>2</cp:revision>
  <dcterms:created xsi:type="dcterms:W3CDTF">2017-11-15T02:57:00Z</dcterms:created>
  <dcterms:modified xsi:type="dcterms:W3CDTF">2017-11-15T03:09:00Z</dcterms:modified>
</cp:coreProperties>
</file>