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7F9" w:rsidRDefault="00B67B0B">
      <w:pPr>
        <w:spacing w:line="500" w:lineRule="exact"/>
        <w:ind w:firstLineChars="200" w:firstLine="723"/>
        <w:jc w:val="both"/>
        <w:textAlignment w:val="baseline"/>
        <w:rPr>
          <w:rFonts w:ascii="黑体" w:eastAsia="黑体" w:hAnsi="黑体"/>
          <w:b/>
          <w:sz w:val="36"/>
          <w:szCs w:val="36"/>
          <w:lang w:eastAsia="zh-CN"/>
        </w:rPr>
      </w:pPr>
      <w:bookmarkStart w:id="0" w:name="_GoBack"/>
      <w:r>
        <w:rPr>
          <w:rFonts w:ascii="黑体" w:eastAsia="黑体" w:hAnsi="黑体" w:hint="eastAsia"/>
          <w:b/>
          <w:sz w:val="36"/>
          <w:szCs w:val="36"/>
          <w:lang w:eastAsia="zh-CN"/>
        </w:rPr>
        <w:t>公共管理硕士专业学位研究生指导性培养方案</w:t>
      </w:r>
    </w:p>
    <w:bookmarkEnd w:id="0"/>
    <w:p w:rsidR="003E67F9" w:rsidRDefault="003E67F9">
      <w:pPr>
        <w:spacing w:line="500" w:lineRule="exact"/>
        <w:ind w:firstLineChars="200" w:firstLine="640"/>
        <w:jc w:val="both"/>
        <w:textAlignment w:val="baseline"/>
        <w:rPr>
          <w:rFonts w:ascii="黑体" w:eastAsia="黑体" w:hAnsi="黑体"/>
          <w:sz w:val="32"/>
          <w:szCs w:val="32"/>
          <w:lang w:eastAsia="zh-CN"/>
        </w:rPr>
      </w:pP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公共管理硕士（</w:t>
      </w:r>
      <w:r>
        <w:rPr>
          <w:rFonts w:ascii="仿宋" w:eastAsia="仿宋" w:hAnsi="仿宋" w:cs="华文仿宋" w:hint="eastAsia"/>
          <w:sz w:val="24"/>
          <w:szCs w:val="24"/>
          <w:lang w:eastAsia="zh-CN"/>
        </w:rPr>
        <w:t>MPA</w:t>
      </w:r>
      <w:r>
        <w:rPr>
          <w:rFonts w:ascii="仿宋" w:eastAsia="仿宋" w:hAnsi="仿宋" w:cs="华文仿宋" w:hint="eastAsia"/>
          <w:sz w:val="24"/>
          <w:szCs w:val="24"/>
          <w:lang w:eastAsia="zh-CN"/>
        </w:rPr>
        <w:t>）专业学位研究生教育是为适应不断发展的公共管理现代化、科学化、专业化的迫切需求，完善公共管理人才培养体系，创新公共管理人才培养模式，提高公共管理人才培养质量而设立的。</w:t>
      </w:r>
    </w:p>
    <w:p w:rsidR="003E67F9" w:rsidRDefault="00B67B0B">
      <w:pPr>
        <w:spacing w:line="500" w:lineRule="exact"/>
        <w:ind w:firstLineChars="200" w:firstLine="482"/>
        <w:jc w:val="both"/>
        <w:textAlignment w:val="baseline"/>
        <w:outlineLvl w:val="0"/>
        <w:rPr>
          <w:rFonts w:ascii="仿宋" w:eastAsia="仿宋" w:hAnsi="仿宋" w:cs="华文仿宋"/>
          <w:b/>
          <w:bCs/>
          <w:sz w:val="24"/>
          <w:szCs w:val="24"/>
          <w:lang w:eastAsia="zh-CN"/>
        </w:rPr>
      </w:pPr>
      <w:r>
        <w:rPr>
          <w:rFonts w:ascii="仿宋" w:eastAsia="仿宋" w:hAnsi="仿宋" w:cs="华文仿宋" w:hint="eastAsia"/>
          <w:b/>
          <w:bCs/>
          <w:sz w:val="24"/>
          <w:szCs w:val="24"/>
          <w:lang w:eastAsia="zh-CN"/>
        </w:rPr>
        <w:t>一、培养目标</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培养具备良好的政治思想素质和职业道德素养，掌握系统的公共管理理论、知识和方法，具备从事公共管理与公共政策分析的能力，能够综合运用管理、政治、经济、法律、现代科技等方面知识和科学研究方法解决公共管理实际问题的德才兼备的高层次、应用型、复合型公共管理专门人才。</w:t>
      </w:r>
    </w:p>
    <w:p w:rsidR="003E67F9" w:rsidRDefault="00B67B0B">
      <w:pPr>
        <w:spacing w:line="500" w:lineRule="exact"/>
        <w:ind w:firstLineChars="200" w:firstLine="482"/>
        <w:jc w:val="both"/>
        <w:textAlignment w:val="baseline"/>
        <w:outlineLvl w:val="0"/>
        <w:rPr>
          <w:rFonts w:ascii="仿宋" w:eastAsia="仿宋" w:hAnsi="仿宋" w:cs="华文仿宋"/>
          <w:b/>
          <w:bCs/>
          <w:sz w:val="24"/>
          <w:szCs w:val="24"/>
          <w:lang w:eastAsia="zh-CN"/>
        </w:rPr>
      </w:pPr>
      <w:r>
        <w:rPr>
          <w:rFonts w:ascii="仿宋" w:eastAsia="仿宋" w:hAnsi="仿宋" w:cs="华文仿宋" w:hint="eastAsia"/>
          <w:b/>
          <w:bCs/>
          <w:sz w:val="24"/>
          <w:szCs w:val="24"/>
          <w:lang w:eastAsia="zh-CN"/>
        </w:rPr>
        <w:t>二、招生类型及报考资格</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招生类型分为“全日制”和“在职攻读”两类，“全日制”学生通过“全国硕士研究生统一入学考试”招收，“在职攻读”学生通过“在职人员攻读硕士学位全国联考”招收。</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报考资格以教育行政管理部门当年有关文件为准。一般要求具有大学本科学历和三年（含三年）以上实际工作经历。</w:t>
      </w:r>
      <w:r>
        <w:rPr>
          <w:rFonts w:ascii="仿宋" w:eastAsia="仿宋" w:hAnsi="仿宋" w:cs="华文仿宋" w:hint="eastAsia"/>
          <w:sz w:val="24"/>
          <w:szCs w:val="24"/>
          <w:lang w:eastAsia="zh-CN"/>
        </w:rPr>
        <w:t xml:space="preserve"> </w:t>
      </w:r>
    </w:p>
    <w:p w:rsidR="003E67F9" w:rsidRDefault="00B67B0B">
      <w:pPr>
        <w:spacing w:line="500" w:lineRule="exact"/>
        <w:ind w:firstLineChars="200" w:firstLine="482"/>
        <w:jc w:val="both"/>
        <w:textAlignment w:val="baseline"/>
        <w:outlineLvl w:val="0"/>
        <w:rPr>
          <w:rFonts w:ascii="仿宋" w:eastAsia="仿宋" w:hAnsi="仿宋" w:cs="华文仿宋"/>
          <w:b/>
          <w:bCs/>
          <w:sz w:val="24"/>
          <w:szCs w:val="24"/>
          <w:lang w:eastAsia="zh-CN"/>
        </w:rPr>
      </w:pPr>
      <w:r>
        <w:rPr>
          <w:rFonts w:ascii="仿宋" w:eastAsia="仿宋" w:hAnsi="仿宋" w:cs="华文仿宋" w:hint="eastAsia"/>
          <w:b/>
          <w:bCs/>
          <w:sz w:val="24"/>
          <w:szCs w:val="24"/>
          <w:lang w:eastAsia="zh-CN"/>
        </w:rPr>
        <w:t>三、学习方式与年限</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入学的学生可以选择“脱产”或“非脱产”方式进行学习。具体学习方式，可以由各培养院校根据实际情况安排。</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学习年限为</w:t>
      </w:r>
      <w:r>
        <w:rPr>
          <w:rFonts w:ascii="仿宋" w:eastAsia="仿宋" w:hAnsi="仿宋" w:cs="华文仿宋" w:hint="eastAsia"/>
          <w:sz w:val="24"/>
          <w:szCs w:val="24"/>
          <w:lang w:eastAsia="zh-CN"/>
        </w:rPr>
        <w:t>2</w:t>
      </w:r>
      <w:r>
        <w:rPr>
          <w:rFonts w:ascii="仿宋" w:eastAsia="仿宋" w:hAnsi="仿宋" w:cs="华文仿宋" w:hint="eastAsia"/>
          <w:sz w:val="24"/>
          <w:szCs w:val="24"/>
          <w:lang w:eastAsia="zh-CN"/>
        </w:rPr>
        <w:t>至</w:t>
      </w:r>
      <w:r>
        <w:rPr>
          <w:rFonts w:ascii="仿宋" w:eastAsia="仿宋" w:hAnsi="仿宋" w:cs="华文仿宋" w:hint="eastAsia"/>
          <w:sz w:val="24"/>
          <w:szCs w:val="24"/>
          <w:lang w:eastAsia="zh-CN"/>
        </w:rPr>
        <w:t>4</w:t>
      </w:r>
      <w:r>
        <w:rPr>
          <w:rFonts w:ascii="仿宋" w:eastAsia="仿宋" w:hAnsi="仿宋" w:cs="华文仿宋" w:hint="eastAsia"/>
          <w:sz w:val="24"/>
          <w:szCs w:val="24"/>
          <w:lang w:eastAsia="zh-CN"/>
        </w:rPr>
        <w:t>年。“非脱产”学习年限一般不少于</w:t>
      </w:r>
      <w:r>
        <w:rPr>
          <w:rFonts w:ascii="仿宋" w:eastAsia="仿宋" w:hAnsi="仿宋" w:cs="华文仿宋" w:hint="eastAsia"/>
          <w:sz w:val="24"/>
          <w:szCs w:val="24"/>
          <w:lang w:eastAsia="zh-CN"/>
        </w:rPr>
        <w:t>2.5</w:t>
      </w:r>
      <w:r>
        <w:rPr>
          <w:rFonts w:ascii="仿宋" w:eastAsia="仿宋" w:hAnsi="仿宋" w:cs="华文仿宋" w:hint="eastAsia"/>
          <w:sz w:val="24"/>
          <w:szCs w:val="24"/>
          <w:lang w:eastAsia="zh-CN"/>
        </w:rPr>
        <w:t>年。</w:t>
      </w:r>
    </w:p>
    <w:p w:rsidR="003E67F9" w:rsidRDefault="00B67B0B">
      <w:pPr>
        <w:spacing w:line="500" w:lineRule="exact"/>
        <w:ind w:firstLineChars="200" w:firstLine="482"/>
        <w:jc w:val="both"/>
        <w:textAlignment w:val="baseline"/>
        <w:outlineLvl w:val="0"/>
        <w:rPr>
          <w:rFonts w:ascii="仿宋" w:eastAsia="仿宋" w:hAnsi="仿宋" w:cs="华文仿宋"/>
          <w:b/>
          <w:bCs/>
          <w:sz w:val="24"/>
          <w:szCs w:val="24"/>
          <w:lang w:eastAsia="zh-CN"/>
        </w:rPr>
      </w:pPr>
      <w:r>
        <w:rPr>
          <w:rFonts w:ascii="仿宋" w:eastAsia="仿宋" w:hAnsi="仿宋" w:cs="华文仿宋" w:hint="eastAsia"/>
          <w:b/>
          <w:bCs/>
          <w:sz w:val="24"/>
          <w:szCs w:val="24"/>
          <w:lang w:eastAsia="zh-CN"/>
        </w:rPr>
        <w:t>四、学分要求与课程设置</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学生培养实行学分制，</w:t>
      </w:r>
      <w:r>
        <w:rPr>
          <w:rFonts w:ascii="仿宋" w:eastAsia="仿宋" w:hAnsi="仿宋" w:cs="华文仿宋" w:hint="eastAsia"/>
          <w:sz w:val="24"/>
          <w:szCs w:val="24"/>
          <w:lang w:eastAsia="zh-CN"/>
        </w:rPr>
        <w:t>总学分不少于</w:t>
      </w:r>
      <w:r>
        <w:rPr>
          <w:rFonts w:ascii="仿宋" w:eastAsia="仿宋" w:hAnsi="仿宋" w:cs="华文仿宋" w:hint="eastAsia"/>
          <w:sz w:val="24"/>
          <w:szCs w:val="24"/>
          <w:lang w:eastAsia="zh-CN"/>
        </w:rPr>
        <w:t>36</w:t>
      </w:r>
      <w:r>
        <w:rPr>
          <w:rFonts w:ascii="仿宋" w:eastAsia="仿宋" w:hAnsi="仿宋" w:cs="华文仿宋" w:hint="eastAsia"/>
          <w:sz w:val="24"/>
          <w:szCs w:val="24"/>
          <w:lang w:eastAsia="zh-CN"/>
        </w:rPr>
        <w:t>学分。</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课程设置突出理论与实践相结合的原则，分为核心课、专业方向必修课、选修课和社会实践四方面基本模块。其中，核心课不少于</w:t>
      </w:r>
      <w:r>
        <w:rPr>
          <w:rFonts w:ascii="仿宋" w:eastAsia="仿宋" w:hAnsi="仿宋" w:cs="华文仿宋" w:hint="eastAsia"/>
          <w:sz w:val="24"/>
          <w:szCs w:val="24"/>
          <w:lang w:eastAsia="zh-CN"/>
        </w:rPr>
        <w:t>17</w:t>
      </w:r>
      <w:r>
        <w:rPr>
          <w:rFonts w:ascii="仿宋" w:eastAsia="仿宋" w:hAnsi="仿宋" w:cs="华文仿宋" w:hint="eastAsia"/>
          <w:sz w:val="24"/>
          <w:szCs w:val="24"/>
          <w:lang w:eastAsia="zh-CN"/>
        </w:rPr>
        <w:t>学分，专业方向必修课不少于</w:t>
      </w:r>
      <w:r>
        <w:rPr>
          <w:rFonts w:ascii="仿宋" w:eastAsia="仿宋" w:hAnsi="仿宋" w:cs="华文仿宋" w:hint="eastAsia"/>
          <w:sz w:val="24"/>
          <w:szCs w:val="24"/>
          <w:lang w:eastAsia="zh-CN"/>
        </w:rPr>
        <w:t>8</w:t>
      </w:r>
      <w:r>
        <w:rPr>
          <w:rFonts w:ascii="仿宋" w:eastAsia="仿宋" w:hAnsi="仿宋" w:cs="华文仿宋" w:hint="eastAsia"/>
          <w:sz w:val="24"/>
          <w:szCs w:val="24"/>
          <w:lang w:eastAsia="zh-CN"/>
        </w:rPr>
        <w:t>学分，选修课不少于</w:t>
      </w:r>
      <w:r>
        <w:rPr>
          <w:rFonts w:ascii="仿宋" w:eastAsia="仿宋" w:hAnsi="仿宋" w:cs="华文仿宋" w:hint="eastAsia"/>
          <w:sz w:val="24"/>
          <w:szCs w:val="24"/>
          <w:lang w:eastAsia="zh-CN"/>
        </w:rPr>
        <w:t>9</w:t>
      </w:r>
      <w:r>
        <w:rPr>
          <w:rFonts w:ascii="仿宋" w:eastAsia="仿宋" w:hAnsi="仿宋" w:cs="华文仿宋" w:hint="eastAsia"/>
          <w:sz w:val="24"/>
          <w:szCs w:val="24"/>
          <w:lang w:eastAsia="zh-CN"/>
        </w:rPr>
        <w:t>学分，社会实践为</w:t>
      </w:r>
      <w:r>
        <w:rPr>
          <w:rFonts w:ascii="仿宋" w:eastAsia="仿宋" w:hAnsi="仿宋" w:cs="华文仿宋" w:hint="eastAsia"/>
          <w:sz w:val="24"/>
          <w:szCs w:val="24"/>
          <w:lang w:eastAsia="zh-CN"/>
        </w:rPr>
        <w:t>2</w:t>
      </w:r>
      <w:r>
        <w:rPr>
          <w:rFonts w:ascii="仿宋" w:eastAsia="仿宋" w:hAnsi="仿宋" w:cs="华文仿宋" w:hint="eastAsia"/>
          <w:sz w:val="24"/>
          <w:szCs w:val="24"/>
          <w:lang w:eastAsia="zh-CN"/>
        </w:rPr>
        <w:t>学分。课程学习中，每个学分学习时间不少于</w:t>
      </w:r>
      <w:r>
        <w:rPr>
          <w:rFonts w:ascii="仿宋" w:eastAsia="仿宋" w:hAnsi="仿宋" w:cs="华文仿宋" w:hint="eastAsia"/>
          <w:sz w:val="24"/>
          <w:szCs w:val="24"/>
          <w:lang w:eastAsia="zh-CN"/>
        </w:rPr>
        <w:t>16</w:t>
      </w:r>
      <w:r>
        <w:rPr>
          <w:rFonts w:ascii="仿宋" w:eastAsia="仿宋" w:hAnsi="仿宋" w:cs="华文仿宋" w:hint="eastAsia"/>
          <w:sz w:val="24"/>
          <w:szCs w:val="24"/>
          <w:lang w:eastAsia="zh-CN"/>
        </w:rPr>
        <w:t>课时。</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1.</w:t>
      </w:r>
      <w:r>
        <w:rPr>
          <w:rFonts w:ascii="仿宋" w:eastAsia="仿宋" w:hAnsi="仿宋" w:cs="华文仿宋" w:hint="eastAsia"/>
          <w:sz w:val="24"/>
          <w:szCs w:val="24"/>
          <w:lang w:eastAsia="zh-CN"/>
        </w:rPr>
        <w:t>核心课是学生必修课程。“核心课程目录”共列</w:t>
      </w:r>
      <w:r>
        <w:rPr>
          <w:rFonts w:ascii="仿宋" w:eastAsia="仿宋" w:hAnsi="仿宋" w:cs="华文仿宋" w:hint="eastAsia"/>
          <w:sz w:val="24"/>
          <w:szCs w:val="24"/>
          <w:lang w:eastAsia="zh-CN"/>
        </w:rPr>
        <w:t>12</w:t>
      </w:r>
      <w:r>
        <w:rPr>
          <w:rFonts w:ascii="仿宋" w:eastAsia="仿宋" w:hAnsi="仿宋" w:cs="华文仿宋" w:hint="eastAsia"/>
          <w:sz w:val="24"/>
          <w:szCs w:val="24"/>
          <w:lang w:eastAsia="zh-CN"/>
        </w:rPr>
        <w:t>门课，其中，“社会</w:t>
      </w:r>
      <w:r>
        <w:rPr>
          <w:rFonts w:ascii="仿宋" w:eastAsia="仿宋" w:hAnsi="仿宋" w:cs="华文仿宋" w:hint="eastAsia"/>
          <w:sz w:val="24"/>
          <w:szCs w:val="24"/>
          <w:lang w:eastAsia="zh-CN"/>
        </w:rPr>
        <w:lastRenderedPageBreak/>
        <w:t>主义建设理论与实践”和“外国语”为学位教育必设课程；“公共管理”和“公共政策分析”是本专业必设核心课程；其他核心课程，由各培养院校从“核心课程目录”中选择开设。</w:t>
      </w:r>
    </w:p>
    <w:p w:rsidR="003E67F9" w:rsidRDefault="00B67B0B">
      <w:pPr>
        <w:ind w:firstLineChars="200" w:firstLine="480"/>
        <w:jc w:val="center"/>
        <w:textAlignment w:val="baseline"/>
        <w:rPr>
          <w:rFonts w:ascii="仿宋" w:eastAsia="仿宋" w:hAnsi="仿宋" w:cs="华文仿宋"/>
          <w:sz w:val="24"/>
          <w:szCs w:val="24"/>
        </w:rPr>
      </w:pPr>
      <w:r>
        <w:rPr>
          <w:rFonts w:ascii="仿宋" w:eastAsia="仿宋" w:hAnsi="仿宋" w:cs="华文仿宋" w:hint="eastAsia"/>
          <w:sz w:val="24"/>
          <w:szCs w:val="24"/>
        </w:rPr>
        <w:t>核心课程目录</w:t>
      </w:r>
    </w:p>
    <w:tbl>
      <w:tblPr>
        <w:tblW w:w="833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962"/>
        <w:gridCol w:w="3118"/>
        <w:gridCol w:w="2127"/>
        <w:gridCol w:w="2126"/>
      </w:tblGrid>
      <w:tr w:rsidR="003E67F9">
        <w:trPr>
          <w:trHeight w:hRule="exact" w:val="510"/>
          <w:jc w:val="center"/>
        </w:trPr>
        <w:tc>
          <w:tcPr>
            <w:tcW w:w="962" w:type="dxa"/>
            <w:vAlign w:val="center"/>
          </w:tcPr>
          <w:p w:rsidR="003E67F9" w:rsidRDefault="00B67B0B">
            <w:pPr>
              <w:ind w:firstLineChars="100" w:firstLine="210"/>
              <w:jc w:val="both"/>
              <w:textAlignment w:val="baseline"/>
              <w:rPr>
                <w:rFonts w:ascii="仿宋" w:eastAsia="仿宋" w:hAnsi="仿宋" w:cs="华文仿宋"/>
                <w:caps/>
                <w:sz w:val="21"/>
                <w:szCs w:val="21"/>
              </w:rPr>
            </w:pPr>
            <w:r>
              <w:rPr>
                <w:rFonts w:ascii="仿宋" w:eastAsia="仿宋" w:hAnsi="仿宋" w:cs="华文仿宋" w:hint="eastAsia"/>
                <w:caps/>
                <w:sz w:val="21"/>
                <w:szCs w:val="21"/>
              </w:rPr>
              <w:t>序号</w:t>
            </w:r>
          </w:p>
        </w:tc>
        <w:tc>
          <w:tcPr>
            <w:tcW w:w="3118" w:type="dxa"/>
            <w:vAlign w:val="center"/>
          </w:tcPr>
          <w:p w:rsidR="003E67F9" w:rsidRDefault="00B67B0B">
            <w:pPr>
              <w:ind w:firstLineChars="200" w:firstLine="420"/>
              <w:jc w:val="both"/>
              <w:textAlignment w:val="baseline"/>
              <w:rPr>
                <w:rFonts w:ascii="仿宋" w:eastAsia="仿宋" w:hAnsi="仿宋" w:cs="华文仿宋"/>
                <w:caps/>
                <w:sz w:val="21"/>
                <w:szCs w:val="21"/>
              </w:rPr>
            </w:pPr>
            <w:r>
              <w:rPr>
                <w:rFonts w:ascii="仿宋" w:eastAsia="仿宋" w:hAnsi="仿宋" w:cs="华文仿宋" w:hint="eastAsia"/>
                <w:caps/>
                <w:sz w:val="21"/>
                <w:szCs w:val="21"/>
              </w:rPr>
              <w:t>课程名称</w:t>
            </w:r>
          </w:p>
        </w:tc>
        <w:tc>
          <w:tcPr>
            <w:tcW w:w="2127" w:type="dxa"/>
            <w:vAlign w:val="center"/>
          </w:tcPr>
          <w:p w:rsidR="003E67F9" w:rsidRDefault="00B67B0B">
            <w:pPr>
              <w:ind w:firstLineChars="200" w:firstLine="420"/>
              <w:jc w:val="both"/>
              <w:textAlignment w:val="baseline"/>
              <w:rPr>
                <w:rFonts w:ascii="仿宋" w:eastAsia="仿宋" w:hAnsi="仿宋" w:cs="华文仿宋"/>
                <w:caps/>
                <w:sz w:val="21"/>
                <w:szCs w:val="21"/>
              </w:rPr>
            </w:pPr>
            <w:r>
              <w:rPr>
                <w:rFonts w:ascii="仿宋" w:eastAsia="仿宋" w:hAnsi="仿宋" w:cs="华文仿宋" w:hint="eastAsia"/>
                <w:caps/>
                <w:sz w:val="21"/>
                <w:szCs w:val="21"/>
              </w:rPr>
              <w:t>课程类别</w:t>
            </w:r>
          </w:p>
        </w:tc>
        <w:tc>
          <w:tcPr>
            <w:tcW w:w="2126" w:type="dxa"/>
            <w:vAlign w:val="center"/>
          </w:tcPr>
          <w:p w:rsidR="003E67F9" w:rsidRDefault="00B67B0B">
            <w:pPr>
              <w:ind w:firstLineChars="50" w:firstLine="105"/>
              <w:textAlignment w:val="baseline"/>
              <w:rPr>
                <w:rFonts w:ascii="仿宋" w:eastAsia="仿宋" w:hAnsi="仿宋" w:cs="华文仿宋"/>
                <w:caps/>
                <w:sz w:val="21"/>
                <w:szCs w:val="21"/>
              </w:rPr>
            </w:pPr>
            <w:r>
              <w:rPr>
                <w:rFonts w:ascii="仿宋" w:eastAsia="仿宋" w:hAnsi="仿宋" w:cs="华文仿宋" w:hint="eastAsia"/>
                <w:caps/>
                <w:sz w:val="21"/>
                <w:szCs w:val="21"/>
              </w:rPr>
              <w:t>建议最低学分</w:t>
            </w:r>
          </w:p>
        </w:tc>
      </w:tr>
      <w:tr w:rsidR="003E67F9">
        <w:trPr>
          <w:trHeight w:hRule="exact" w:val="510"/>
          <w:jc w:val="center"/>
        </w:trPr>
        <w:tc>
          <w:tcPr>
            <w:tcW w:w="962"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1</w:t>
            </w:r>
          </w:p>
        </w:tc>
        <w:tc>
          <w:tcPr>
            <w:tcW w:w="3118" w:type="dxa"/>
            <w:vAlign w:val="center"/>
          </w:tcPr>
          <w:p w:rsidR="003E67F9" w:rsidRDefault="00B67B0B">
            <w:pPr>
              <w:ind w:firstLineChars="200" w:firstLine="420"/>
              <w:jc w:val="both"/>
              <w:textAlignment w:val="baseline"/>
              <w:rPr>
                <w:rFonts w:ascii="仿宋" w:eastAsia="仿宋" w:hAnsi="仿宋" w:cs="华文仿宋"/>
                <w:sz w:val="21"/>
                <w:szCs w:val="21"/>
                <w:lang w:eastAsia="zh-CN"/>
              </w:rPr>
            </w:pPr>
            <w:r>
              <w:rPr>
                <w:rFonts w:ascii="仿宋" w:eastAsia="仿宋" w:hAnsi="仿宋" w:cs="华文仿宋" w:hint="eastAsia"/>
                <w:sz w:val="21"/>
                <w:szCs w:val="21"/>
                <w:lang w:eastAsia="zh-CN"/>
              </w:rPr>
              <w:t>社会主义建设理论与实践</w:t>
            </w:r>
          </w:p>
        </w:tc>
        <w:tc>
          <w:tcPr>
            <w:tcW w:w="2127"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学位教育必设</w:t>
            </w:r>
          </w:p>
        </w:tc>
        <w:tc>
          <w:tcPr>
            <w:tcW w:w="2126"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2</w:t>
            </w:r>
          </w:p>
        </w:tc>
      </w:tr>
      <w:tr w:rsidR="003E67F9">
        <w:trPr>
          <w:trHeight w:hRule="exact" w:val="510"/>
          <w:jc w:val="center"/>
        </w:trPr>
        <w:tc>
          <w:tcPr>
            <w:tcW w:w="962"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2</w:t>
            </w:r>
          </w:p>
        </w:tc>
        <w:tc>
          <w:tcPr>
            <w:tcW w:w="3118"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外国语</w:t>
            </w:r>
          </w:p>
        </w:tc>
        <w:tc>
          <w:tcPr>
            <w:tcW w:w="2127"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学位教育必设</w:t>
            </w:r>
          </w:p>
        </w:tc>
        <w:tc>
          <w:tcPr>
            <w:tcW w:w="2126"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2</w:t>
            </w:r>
          </w:p>
        </w:tc>
      </w:tr>
      <w:tr w:rsidR="003E67F9">
        <w:trPr>
          <w:trHeight w:hRule="exact" w:val="510"/>
          <w:jc w:val="center"/>
        </w:trPr>
        <w:tc>
          <w:tcPr>
            <w:tcW w:w="962"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3</w:t>
            </w:r>
          </w:p>
        </w:tc>
        <w:tc>
          <w:tcPr>
            <w:tcW w:w="3118"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公共管理</w:t>
            </w:r>
          </w:p>
        </w:tc>
        <w:tc>
          <w:tcPr>
            <w:tcW w:w="2127"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专业必设</w:t>
            </w:r>
          </w:p>
        </w:tc>
        <w:tc>
          <w:tcPr>
            <w:tcW w:w="2126"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3</w:t>
            </w:r>
          </w:p>
        </w:tc>
      </w:tr>
      <w:tr w:rsidR="003E67F9">
        <w:trPr>
          <w:trHeight w:hRule="exact" w:val="510"/>
          <w:jc w:val="center"/>
        </w:trPr>
        <w:tc>
          <w:tcPr>
            <w:tcW w:w="962"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4</w:t>
            </w:r>
          </w:p>
        </w:tc>
        <w:tc>
          <w:tcPr>
            <w:tcW w:w="3118"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公共政策分析</w:t>
            </w:r>
          </w:p>
        </w:tc>
        <w:tc>
          <w:tcPr>
            <w:tcW w:w="2127"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专业必设</w:t>
            </w:r>
          </w:p>
        </w:tc>
        <w:tc>
          <w:tcPr>
            <w:tcW w:w="2126"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2</w:t>
            </w:r>
          </w:p>
        </w:tc>
      </w:tr>
      <w:tr w:rsidR="003E67F9">
        <w:trPr>
          <w:trHeight w:hRule="exact" w:val="510"/>
          <w:jc w:val="center"/>
        </w:trPr>
        <w:tc>
          <w:tcPr>
            <w:tcW w:w="962"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5</w:t>
            </w:r>
          </w:p>
        </w:tc>
        <w:tc>
          <w:tcPr>
            <w:tcW w:w="3118"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政治学</w:t>
            </w:r>
          </w:p>
        </w:tc>
        <w:tc>
          <w:tcPr>
            <w:tcW w:w="2127"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选设</w:t>
            </w:r>
          </w:p>
        </w:tc>
        <w:tc>
          <w:tcPr>
            <w:tcW w:w="2126"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2</w:t>
            </w:r>
          </w:p>
        </w:tc>
      </w:tr>
      <w:tr w:rsidR="003E67F9">
        <w:trPr>
          <w:trHeight w:hRule="exact" w:val="510"/>
          <w:jc w:val="center"/>
        </w:trPr>
        <w:tc>
          <w:tcPr>
            <w:tcW w:w="962"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6</w:t>
            </w:r>
          </w:p>
        </w:tc>
        <w:tc>
          <w:tcPr>
            <w:tcW w:w="3118"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公共经济学</w:t>
            </w:r>
          </w:p>
        </w:tc>
        <w:tc>
          <w:tcPr>
            <w:tcW w:w="2127"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选设</w:t>
            </w:r>
          </w:p>
        </w:tc>
        <w:tc>
          <w:tcPr>
            <w:tcW w:w="2126"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3</w:t>
            </w:r>
          </w:p>
        </w:tc>
      </w:tr>
      <w:tr w:rsidR="003E67F9">
        <w:trPr>
          <w:trHeight w:hRule="exact" w:val="510"/>
          <w:jc w:val="center"/>
        </w:trPr>
        <w:tc>
          <w:tcPr>
            <w:tcW w:w="962" w:type="dxa"/>
            <w:tcBorders>
              <w:bottom w:val="single" w:sz="4" w:space="0" w:color="auto"/>
            </w:tcBorders>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7</w:t>
            </w:r>
          </w:p>
        </w:tc>
        <w:tc>
          <w:tcPr>
            <w:tcW w:w="3118" w:type="dxa"/>
            <w:tcBorders>
              <w:bottom w:val="single" w:sz="4" w:space="0" w:color="auto"/>
            </w:tcBorders>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宪法与行政法</w:t>
            </w:r>
          </w:p>
        </w:tc>
        <w:tc>
          <w:tcPr>
            <w:tcW w:w="2127" w:type="dxa"/>
            <w:tcBorders>
              <w:bottom w:val="single" w:sz="4" w:space="0" w:color="auto"/>
            </w:tcBorders>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选设</w:t>
            </w:r>
          </w:p>
        </w:tc>
        <w:tc>
          <w:tcPr>
            <w:tcW w:w="2126" w:type="dxa"/>
            <w:tcBorders>
              <w:bottom w:val="single" w:sz="4" w:space="0" w:color="auto"/>
            </w:tcBorders>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2</w:t>
            </w:r>
          </w:p>
        </w:tc>
      </w:tr>
      <w:tr w:rsidR="003E67F9">
        <w:trPr>
          <w:trHeight w:hRule="exact" w:val="510"/>
          <w:jc w:val="center"/>
        </w:trPr>
        <w:tc>
          <w:tcPr>
            <w:tcW w:w="962" w:type="dxa"/>
            <w:tcBorders>
              <w:top w:val="single" w:sz="4" w:space="0" w:color="auto"/>
            </w:tcBorders>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8</w:t>
            </w:r>
          </w:p>
        </w:tc>
        <w:tc>
          <w:tcPr>
            <w:tcW w:w="3118" w:type="dxa"/>
            <w:tcBorders>
              <w:top w:val="single" w:sz="4" w:space="0" w:color="auto"/>
            </w:tcBorders>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非营利组织管理</w:t>
            </w:r>
          </w:p>
        </w:tc>
        <w:tc>
          <w:tcPr>
            <w:tcW w:w="2127" w:type="dxa"/>
            <w:tcBorders>
              <w:top w:val="single" w:sz="4" w:space="0" w:color="auto"/>
            </w:tcBorders>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选设</w:t>
            </w:r>
          </w:p>
        </w:tc>
        <w:tc>
          <w:tcPr>
            <w:tcW w:w="2126" w:type="dxa"/>
            <w:tcBorders>
              <w:top w:val="single" w:sz="4" w:space="0" w:color="auto"/>
            </w:tcBorders>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2</w:t>
            </w:r>
          </w:p>
        </w:tc>
      </w:tr>
      <w:tr w:rsidR="003E67F9">
        <w:trPr>
          <w:trHeight w:hRule="exact" w:val="510"/>
          <w:jc w:val="center"/>
        </w:trPr>
        <w:tc>
          <w:tcPr>
            <w:tcW w:w="962"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9</w:t>
            </w:r>
          </w:p>
        </w:tc>
        <w:tc>
          <w:tcPr>
            <w:tcW w:w="3118"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公共伦理</w:t>
            </w:r>
          </w:p>
        </w:tc>
        <w:tc>
          <w:tcPr>
            <w:tcW w:w="2127"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选设</w:t>
            </w:r>
          </w:p>
        </w:tc>
        <w:tc>
          <w:tcPr>
            <w:tcW w:w="2126"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2</w:t>
            </w:r>
          </w:p>
        </w:tc>
      </w:tr>
      <w:tr w:rsidR="003E67F9">
        <w:trPr>
          <w:trHeight w:hRule="exact" w:val="510"/>
          <w:jc w:val="center"/>
        </w:trPr>
        <w:tc>
          <w:tcPr>
            <w:tcW w:w="962"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10</w:t>
            </w:r>
          </w:p>
        </w:tc>
        <w:tc>
          <w:tcPr>
            <w:tcW w:w="3118"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社会研究方法</w:t>
            </w:r>
          </w:p>
        </w:tc>
        <w:tc>
          <w:tcPr>
            <w:tcW w:w="2127"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选设</w:t>
            </w:r>
          </w:p>
        </w:tc>
        <w:tc>
          <w:tcPr>
            <w:tcW w:w="2126"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2</w:t>
            </w:r>
          </w:p>
        </w:tc>
      </w:tr>
      <w:tr w:rsidR="003E67F9">
        <w:trPr>
          <w:trHeight w:hRule="exact" w:val="510"/>
          <w:jc w:val="center"/>
        </w:trPr>
        <w:tc>
          <w:tcPr>
            <w:tcW w:w="962"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11</w:t>
            </w:r>
          </w:p>
        </w:tc>
        <w:tc>
          <w:tcPr>
            <w:tcW w:w="3118"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电子政务</w:t>
            </w:r>
          </w:p>
        </w:tc>
        <w:tc>
          <w:tcPr>
            <w:tcW w:w="2127"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选设</w:t>
            </w:r>
          </w:p>
        </w:tc>
        <w:tc>
          <w:tcPr>
            <w:tcW w:w="2126"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2</w:t>
            </w:r>
          </w:p>
        </w:tc>
      </w:tr>
      <w:tr w:rsidR="003E67F9">
        <w:trPr>
          <w:trHeight w:hRule="exact" w:val="510"/>
          <w:jc w:val="center"/>
        </w:trPr>
        <w:tc>
          <w:tcPr>
            <w:tcW w:w="962"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12</w:t>
            </w:r>
          </w:p>
        </w:tc>
        <w:tc>
          <w:tcPr>
            <w:tcW w:w="3118"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公文写作</w:t>
            </w:r>
          </w:p>
        </w:tc>
        <w:tc>
          <w:tcPr>
            <w:tcW w:w="2127"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选设</w:t>
            </w:r>
          </w:p>
        </w:tc>
        <w:tc>
          <w:tcPr>
            <w:tcW w:w="2126" w:type="dxa"/>
            <w:vAlign w:val="center"/>
          </w:tcPr>
          <w:p w:rsidR="003E67F9" w:rsidRDefault="00B67B0B">
            <w:pPr>
              <w:ind w:firstLineChars="200" w:firstLine="420"/>
              <w:jc w:val="both"/>
              <w:textAlignment w:val="baseline"/>
              <w:rPr>
                <w:rFonts w:ascii="仿宋" w:eastAsia="仿宋" w:hAnsi="仿宋" w:cs="华文仿宋"/>
                <w:sz w:val="21"/>
                <w:szCs w:val="21"/>
              </w:rPr>
            </w:pPr>
            <w:r>
              <w:rPr>
                <w:rFonts w:ascii="仿宋" w:eastAsia="仿宋" w:hAnsi="仿宋" w:cs="华文仿宋" w:hint="eastAsia"/>
                <w:sz w:val="21"/>
                <w:szCs w:val="21"/>
              </w:rPr>
              <w:t>2</w:t>
            </w:r>
          </w:p>
        </w:tc>
      </w:tr>
    </w:tbl>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2.</w:t>
      </w:r>
      <w:r>
        <w:rPr>
          <w:rFonts w:ascii="仿宋" w:eastAsia="仿宋" w:hAnsi="仿宋" w:cs="华文仿宋" w:hint="eastAsia"/>
          <w:sz w:val="24"/>
          <w:szCs w:val="24"/>
          <w:lang w:eastAsia="zh-CN"/>
        </w:rPr>
        <w:t>专业方向必修课和选修课由各培养院校根据公共管理学科范畴、院校自身办学特色和社会公共管理事业对于人才的培养需求，自行设计和设置。</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3.</w:t>
      </w:r>
      <w:r>
        <w:rPr>
          <w:rFonts w:ascii="仿宋" w:eastAsia="仿宋" w:hAnsi="仿宋" w:cs="华文仿宋" w:hint="eastAsia"/>
          <w:sz w:val="24"/>
          <w:szCs w:val="24"/>
          <w:lang w:eastAsia="zh-CN"/>
        </w:rPr>
        <w:t>社会实践时间为三个月。社会实践应在教师的指导下进行，社会实践结束后，学生须提交社会实践报告。对于社会实践报告的具体要求，由各培养院校自行制定，总体上应致力于培养学生学以致用的素养和能力。各培养院校应安排缺乏公共管理实际工作经验的学生到政府部门或非政府公共机构进行社会实践。</w:t>
      </w:r>
    </w:p>
    <w:p w:rsidR="003E67F9" w:rsidRDefault="00B67B0B">
      <w:pPr>
        <w:spacing w:line="500" w:lineRule="exact"/>
        <w:ind w:firstLineChars="200" w:firstLine="482"/>
        <w:jc w:val="both"/>
        <w:textAlignment w:val="baseline"/>
        <w:rPr>
          <w:rFonts w:ascii="仿宋" w:eastAsia="仿宋" w:hAnsi="仿宋" w:cs="华文仿宋"/>
          <w:b/>
          <w:bCs/>
          <w:sz w:val="24"/>
          <w:szCs w:val="24"/>
          <w:lang w:eastAsia="zh-CN"/>
        </w:rPr>
      </w:pPr>
      <w:r>
        <w:rPr>
          <w:rFonts w:ascii="仿宋" w:eastAsia="仿宋" w:hAnsi="仿宋" w:cs="华文仿宋" w:hint="eastAsia"/>
          <w:b/>
          <w:bCs/>
          <w:sz w:val="24"/>
          <w:szCs w:val="24"/>
          <w:lang w:eastAsia="zh-CN"/>
        </w:rPr>
        <w:t>五、师资队伍</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各培养院校应逐步建立“双师型”师资队伍，即专职教师和兼职教师队伍。</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专职教师队伍是指本校编制内的全职教师。担任核心课的教师应为专职教师，并具有博士学位或副教授以上职称。每门核心课程原则上配备至少</w:t>
      </w:r>
      <w:r>
        <w:rPr>
          <w:rFonts w:ascii="仿宋" w:eastAsia="仿宋" w:hAnsi="仿宋" w:cs="华文仿宋" w:hint="eastAsia"/>
          <w:sz w:val="24"/>
          <w:szCs w:val="24"/>
          <w:lang w:eastAsia="zh-CN"/>
        </w:rPr>
        <w:t>2</w:t>
      </w:r>
      <w:r>
        <w:rPr>
          <w:rFonts w:ascii="仿宋" w:eastAsia="仿宋" w:hAnsi="仿宋" w:cs="华文仿宋" w:hint="eastAsia"/>
          <w:sz w:val="24"/>
          <w:szCs w:val="24"/>
          <w:lang w:eastAsia="zh-CN"/>
        </w:rPr>
        <w:t>名教师，同</w:t>
      </w:r>
      <w:r>
        <w:rPr>
          <w:rFonts w:ascii="仿宋" w:eastAsia="仿宋" w:hAnsi="仿宋" w:cs="华文仿宋" w:hint="eastAsia"/>
          <w:sz w:val="24"/>
          <w:szCs w:val="24"/>
          <w:lang w:eastAsia="zh-CN"/>
        </w:rPr>
        <w:lastRenderedPageBreak/>
        <w:t>一名教师原则上不应作为不同核心课程的核心成员。兼职教师队伍要在专业方向课教学中发挥重要作用，参与专业方向学生培养的兼职教师原则上应不少于专业方向师资队伍的三分之一。各培养院校应选聘具有扎实理论功底、丰富实践经验的政府部门和其他公共机构的中高层领导干部担任兼职教师，并且确保他们积极参与学生的培养工作。</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各个专业方向必须有明确的师资团队承担教学任务。</w:t>
      </w:r>
    </w:p>
    <w:p w:rsidR="003E67F9" w:rsidRDefault="00B67B0B">
      <w:pPr>
        <w:spacing w:line="500" w:lineRule="exact"/>
        <w:ind w:firstLineChars="200" w:firstLine="482"/>
        <w:jc w:val="both"/>
        <w:textAlignment w:val="baseline"/>
        <w:rPr>
          <w:rFonts w:ascii="仿宋" w:eastAsia="仿宋" w:hAnsi="仿宋" w:cs="华文仿宋"/>
          <w:b/>
          <w:bCs/>
          <w:sz w:val="24"/>
          <w:szCs w:val="24"/>
          <w:lang w:eastAsia="zh-CN"/>
        </w:rPr>
      </w:pPr>
      <w:r>
        <w:rPr>
          <w:rFonts w:ascii="仿宋" w:eastAsia="仿宋" w:hAnsi="仿宋" w:cs="华文仿宋" w:hint="eastAsia"/>
          <w:b/>
          <w:bCs/>
          <w:sz w:val="24"/>
          <w:szCs w:val="24"/>
          <w:lang w:eastAsia="zh-CN"/>
        </w:rPr>
        <w:t>六、教学形式</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采用多元、</w:t>
      </w:r>
      <w:r>
        <w:rPr>
          <w:rFonts w:ascii="仿宋" w:eastAsia="仿宋" w:hAnsi="仿宋" w:cs="华文仿宋" w:hint="eastAsia"/>
          <w:sz w:val="24"/>
          <w:szCs w:val="24"/>
          <w:lang w:eastAsia="zh-CN"/>
        </w:rPr>
        <w:t>互动的教学方式。综合运用讲授、研究、案例分析、体验、模拟等多种教学方法，把多种形式有机结合起来，着重培养学生分析问题和解决问题的能力。</w:t>
      </w:r>
    </w:p>
    <w:p w:rsidR="003E67F9" w:rsidRDefault="00B67B0B">
      <w:pPr>
        <w:spacing w:line="500" w:lineRule="exact"/>
        <w:ind w:firstLineChars="200" w:firstLine="482"/>
        <w:jc w:val="both"/>
        <w:textAlignment w:val="baseline"/>
        <w:rPr>
          <w:rFonts w:ascii="仿宋" w:eastAsia="仿宋" w:hAnsi="仿宋" w:cs="华文仿宋"/>
          <w:b/>
          <w:bCs/>
          <w:sz w:val="24"/>
          <w:szCs w:val="24"/>
          <w:lang w:eastAsia="zh-CN"/>
        </w:rPr>
      </w:pPr>
      <w:r>
        <w:rPr>
          <w:rFonts w:ascii="仿宋" w:eastAsia="仿宋" w:hAnsi="仿宋" w:cs="华文仿宋" w:hint="eastAsia"/>
          <w:b/>
          <w:bCs/>
          <w:sz w:val="24"/>
          <w:szCs w:val="24"/>
          <w:lang w:eastAsia="zh-CN"/>
        </w:rPr>
        <w:t>七、学位论文</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学位论文应体现专业学位的特点，选题紧密结合公共管理实践中的具体问题，特别鼓励学生选择与自己的工作领域和工作岗位相关的问题展开论文研究。学生应该运用所学理论、知识和方法，展开</w:t>
      </w:r>
      <w:r>
        <w:rPr>
          <w:rFonts w:ascii="仿宋" w:eastAsia="仿宋" w:hAnsi="仿宋" w:cs="华文仿宋" w:hint="eastAsia"/>
          <w:color w:val="000000"/>
          <w:sz w:val="24"/>
          <w:szCs w:val="24"/>
          <w:lang w:eastAsia="zh-CN"/>
        </w:rPr>
        <w:t>调查研究与</w:t>
      </w:r>
      <w:r>
        <w:rPr>
          <w:rFonts w:ascii="仿宋" w:eastAsia="仿宋" w:hAnsi="仿宋" w:cs="华文仿宋" w:hint="eastAsia"/>
          <w:sz w:val="24"/>
          <w:szCs w:val="24"/>
          <w:lang w:eastAsia="zh-CN"/>
        </w:rPr>
        <w:t>分析论述，并提出相关政策建议或改进管理的措施。</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学位论文应在导师指导下，经过开题、写作、答辩等环节完成。其中，论文开题时间应至少在答辩前半年进行，论文正文字数应在</w:t>
      </w:r>
      <w:r>
        <w:rPr>
          <w:rFonts w:ascii="仿宋" w:eastAsia="仿宋" w:hAnsi="仿宋" w:cs="华文仿宋" w:hint="eastAsia"/>
          <w:sz w:val="24"/>
          <w:szCs w:val="24"/>
          <w:lang w:eastAsia="zh-CN"/>
        </w:rPr>
        <w:t>2</w:t>
      </w:r>
      <w:r>
        <w:rPr>
          <w:rFonts w:ascii="仿宋" w:eastAsia="仿宋" w:hAnsi="仿宋" w:cs="华文仿宋" w:hint="eastAsia"/>
          <w:sz w:val="24"/>
          <w:szCs w:val="24"/>
          <w:lang w:eastAsia="zh-CN"/>
        </w:rPr>
        <w:t>万字以上。</w:t>
      </w:r>
    </w:p>
    <w:p w:rsidR="003E67F9" w:rsidRDefault="00B67B0B">
      <w:pPr>
        <w:spacing w:line="500" w:lineRule="exact"/>
        <w:ind w:firstLineChars="200" w:firstLine="482"/>
        <w:jc w:val="both"/>
        <w:textAlignment w:val="baseline"/>
        <w:rPr>
          <w:rFonts w:ascii="仿宋" w:eastAsia="仿宋" w:hAnsi="仿宋" w:cs="华文仿宋"/>
          <w:b/>
          <w:bCs/>
          <w:sz w:val="24"/>
          <w:szCs w:val="24"/>
          <w:lang w:eastAsia="zh-CN"/>
        </w:rPr>
      </w:pPr>
      <w:r>
        <w:rPr>
          <w:rFonts w:ascii="仿宋" w:eastAsia="仿宋" w:hAnsi="仿宋" w:cs="华文仿宋" w:hint="eastAsia"/>
          <w:b/>
          <w:bCs/>
          <w:sz w:val="24"/>
          <w:szCs w:val="24"/>
          <w:lang w:eastAsia="zh-CN"/>
        </w:rPr>
        <w:t>八、学位授予</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完成课程学习及社会实践环节，取得规定学分，并通过学位论文答辩者，经学位授予单位学位评定委员会审核，授予公共管理硕士专业学位。</w:t>
      </w:r>
    </w:p>
    <w:p w:rsidR="003E67F9" w:rsidRDefault="00B67B0B">
      <w:pPr>
        <w:spacing w:line="500" w:lineRule="exact"/>
        <w:ind w:firstLineChars="200" w:firstLine="482"/>
        <w:jc w:val="both"/>
        <w:textAlignment w:val="baseline"/>
        <w:rPr>
          <w:rFonts w:ascii="仿宋" w:eastAsia="仿宋" w:hAnsi="仿宋" w:cs="华文仿宋"/>
          <w:b/>
          <w:bCs/>
          <w:sz w:val="24"/>
          <w:szCs w:val="24"/>
          <w:lang w:eastAsia="zh-CN"/>
        </w:rPr>
      </w:pPr>
      <w:r>
        <w:rPr>
          <w:rFonts w:ascii="仿宋" w:eastAsia="仿宋" w:hAnsi="仿宋" w:cs="华文仿宋" w:hint="eastAsia"/>
          <w:b/>
          <w:bCs/>
          <w:sz w:val="24"/>
          <w:szCs w:val="24"/>
          <w:lang w:eastAsia="zh-CN"/>
        </w:rPr>
        <w:t>九、办学环境</w:t>
      </w:r>
    </w:p>
    <w:p w:rsidR="003E67F9" w:rsidRDefault="00B67B0B">
      <w:pPr>
        <w:spacing w:line="500" w:lineRule="exact"/>
        <w:ind w:firstLineChars="200" w:firstLine="480"/>
        <w:jc w:val="both"/>
        <w:textAlignment w:val="baseline"/>
        <w:rPr>
          <w:rFonts w:ascii="仿宋" w:eastAsia="仿宋" w:hAnsi="仿宋" w:cs="华文仿宋"/>
          <w:sz w:val="24"/>
          <w:szCs w:val="24"/>
          <w:lang w:eastAsia="zh-CN"/>
        </w:rPr>
      </w:pPr>
      <w:r>
        <w:rPr>
          <w:rFonts w:ascii="仿宋" w:eastAsia="仿宋" w:hAnsi="仿宋" w:cs="华文仿宋" w:hint="eastAsia"/>
          <w:sz w:val="24"/>
          <w:szCs w:val="24"/>
          <w:lang w:eastAsia="zh-CN"/>
        </w:rPr>
        <w:t>各培养院校应为公共管理硕士（</w:t>
      </w:r>
      <w:r>
        <w:rPr>
          <w:rFonts w:ascii="仿宋" w:eastAsia="仿宋" w:hAnsi="仿宋" w:cs="华文仿宋" w:hint="eastAsia"/>
          <w:sz w:val="24"/>
          <w:szCs w:val="24"/>
          <w:lang w:eastAsia="zh-CN"/>
        </w:rPr>
        <w:t>MPA</w:t>
      </w:r>
      <w:r>
        <w:rPr>
          <w:rFonts w:ascii="仿宋" w:eastAsia="仿宋" w:hAnsi="仿宋" w:cs="华文仿宋" w:hint="eastAsia"/>
          <w:sz w:val="24"/>
          <w:szCs w:val="24"/>
          <w:lang w:eastAsia="zh-CN"/>
        </w:rPr>
        <w:t>）专业学位研究生提供与其他在校学术型研究生同等标准的办学环境和学习条件，包括硬件设施、教学投入、学习保障、后勤服务等。同时，根据公共管理硕士（</w:t>
      </w:r>
      <w:r>
        <w:rPr>
          <w:rFonts w:ascii="仿宋" w:eastAsia="仿宋" w:hAnsi="仿宋" w:cs="华文仿宋" w:hint="eastAsia"/>
          <w:sz w:val="24"/>
          <w:szCs w:val="24"/>
          <w:lang w:eastAsia="zh-CN"/>
        </w:rPr>
        <w:t>MPA</w:t>
      </w:r>
      <w:r>
        <w:rPr>
          <w:rFonts w:ascii="仿宋" w:eastAsia="仿宋" w:hAnsi="仿宋" w:cs="华文仿宋" w:hint="eastAsia"/>
          <w:sz w:val="24"/>
          <w:szCs w:val="24"/>
          <w:lang w:eastAsia="zh-CN"/>
        </w:rPr>
        <w:t>）专业学位研究生的教学特点，应特别注意加强案例分析和研讨所需相关设施的建设。</w:t>
      </w:r>
    </w:p>
    <w:p w:rsidR="003E67F9" w:rsidRDefault="003E67F9" w:rsidP="00AC07E5">
      <w:pPr>
        <w:spacing w:line="500" w:lineRule="exact"/>
        <w:textAlignment w:val="baseline"/>
        <w:rPr>
          <w:lang w:eastAsia="zh-CN"/>
        </w:rPr>
      </w:pPr>
    </w:p>
    <w:sectPr w:rsidR="003E67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B0B" w:rsidRDefault="00B67B0B" w:rsidP="00AC07E5">
      <w:r>
        <w:separator/>
      </w:r>
    </w:p>
  </w:endnote>
  <w:endnote w:type="continuationSeparator" w:id="0">
    <w:p w:rsidR="00B67B0B" w:rsidRDefault="00B67B0B" w:rsidP="00AC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B0B" w:rsidRDefault="00B67B0B" w:rsidP="00AC07E5">
      <w:r>
        <w:separator/>
      </w:r>
    </w:p>
  </w:footnote>
  <w:footnote w:type="continuationSeparator" w:id="0">
    <w:p w:rsidR="00B67B0B" w:rsidRDefault="00B67B0B" w:rsidP="00AC0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F9"/>
    <w:rsid w:val="003E67F9"/>
    <w:rsid w:val="00AC07E5"/>
    <w:rsid w:val="00B67B0B"/>
    <w:rsid w:val="0DE71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73A3C8-BA9A-4E6A-9595-0864E452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cs="黑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
    <w:name w:val="标题 91"/>
    <w:basedOn w:val="a"/>
    <w:uiPriority w:val="1"/>
    <w:qFormat/>
    <w:pPr>
      <w:ind w:left="116"/>
    </w:pPr>
    <w:rPr>
      <w:rFonts w:ascii="仿宋_GB2312" w:eastAsia="仿宋_GB2312" w:hAnsi="仿宋_GB2312"/>
      <w:sz w:val="30"/>
      <w:szCs w:val="30"/>
    </w:rPr>
  </w:style>
  <w:style w:type="paragraph" w:styleId="a3">
    <w:name w:val="header"/>
    <w:basedOn w:val="a"/>
    <w:link w:val="Char"/>
    <w:rsid w:val="00AC07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C07E5"/>
    <w:rPr>
      <w:rFonts w:cs="黑体"/>
      <w:sz w:val="18"/>
      <w:szCs w:val="18"/>
      <w:lang w:eastAsia="en-US"/>
    </w:rPr>
  </w:style>
  <w:style w:type="paragraph" w:styleId="a4">
    <w:name w:val="footer"/>
    <w:basedOn w:val="a"/>
    <w:link w:val="Char0"/>
    <w:rsid w:val="00AC07E5"/>
    <w:pPr>
      <w:tabs>
        <w:tab w:val="center" w:pos="4153"/>
        <w:tab w:val="right" w:pos="8306"/>
      </w:tabs>
      <w:snapToGrid w:val="0"/>
    </w:pPr>
    <w:rPr>
      <w:sz w:val="18"/>
      <w:szCs w:val="18"/>
    </w:rPr>
  </w:style>
  <w:style w:type="character" w:customStyle="1" w:styleId="Char0">
    <w:name w:val="页脚 Char"/>
    <w:basedOn w:val="a0"/>
    <w:link w:val="a4"/>
    <w:rsid w:val="00AC07E5"/>
    <w:rPr>
      <w:rFonts w:cs="黑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1643</Characters>
  <Application>Microsoft Office Word</Application>
  <DocSecurity>0</DocSecurity>
  <Lines>13</Lines>
  <Paragraphs>3</Paragraphs>
  <ScaleCrop>false</ScaleCrop>
  <Company>yjsc</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cp:revision>
  <dcterms:created xsi:type="dcterms:W3CDTF">2014-10-29T12:08:00Z</dcterms:created>
  <dcterms:modified xsi:type="dcterms:W3CDTF">2016-05-27T08:45:00Z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